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both"/>
        <w:rPr>
          <w:rFonts w:ascii="Times New Roman" w:hAnsi="Times New Roman"/>
          <w:sz w:val="24"/>
          <w:szCs w:val="24"/>
        </w:rPr>
      </w:pPr>
      <w:r>
        <w:drawing>
          <wp:anchor behindDoc="0" distT="0" distB="0" distL="114935" distR="114935" simplePos="0" locked="0" layoutInCell="0" allowOverlap="1" relativeHeight="2">
            <wp:simplePos x="0" y="0"/>
            <wp:positionH relativeFrom="column">
              <wp:posOffset>198755</wp:posOffset>
            </wp:positionH>
            <wp:positionV relativeFrom="paragraph">
              <wp:posOffset>-229870</wp:posOffset>
            </wp:positionV>
            <wp:extent cx="501650" cy="627380"/>
            <wp:effectExtent l="0" t="0" r="0" b="0"/>
            <wp:wrapTopAndBottom/>
            <wp:docPr id="1" name="Slik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
                    <pic:cNvPicPr>
                      <a:picLocks noChangeAspect="1" noChangeArrowheads="1"/>
                    </pic:cNvPicPr>
                  </pic:nvPicPr>
                  <pic:blipFill>
                    <a:blip r:embed="rId2"/>
                    <a:stretch>
                      <a:fillRect/>
                    </a:stretch>
                  </pic:blipFill>
                  <pic:spPr bwMode="auto">
                    <a:xfrm>
                      <a:off x="0" y="0"/>
                      <a:ext cx="501650" cy="627380"/>
                    </a:xfrm>
                    <a:prstGeom prst="rect">
                      <a:avLst/>
                    </a:prstGeom>
                    <a:solidFill>
                      <a:srgbClr val="ffffff"/>
                    </a:solidFill>
                  </pic:spPr>
                </pic:pic>
              </a:graphicData>
            </a:graphic>
          </wp:anchor>
        </w:drawing>
      </w:r>
      <w:r>
        <w:rPr>
          <w:rFonts w:ascii="Times New Roman" w:hAnsi="Times New Roman"/>
          <w:sz w:val="24"/>
          <w:szCs w:val="24"/>
        </w:rPr>
        <w:t>REPUBLIKA HRVATSKA</w:t>
      </w:r>
    </w:p>
    <w:p>
      <w:pPr>
        <w:pStyle w:val="Normal"/>
        <w:bidi w:val="0"/>
        <w:jc w:val="both"/>
        <w:rPr>
          <w:rFonts w:ascii="Times New Roman" w:hAnsi="Times New Roman"/>
          <w:sz w:val="24"/>
          <w:szCs w:val="24"/>
        </w:rPr>
      </w:pPr>
      <w:r>
        <w:rPr>
          <w:rFonts w:ascii="Times New Roman" w:hAnsi="Times New Roman"/>
          <w:sz w:val="24"/>
          <w:szCs w:val="24"/>
        </w:rPr>
        <w:t>DUBROVAČKO-NERETVANSKA ŽUPANIJA</w:t>
      </w:r>
    </w:p>
    <w:p>
      <w:pPr>
        <w:pStyle w:val="Normal"/>
        <w:bidi w:val="0"/>
        <w:jc w:val="both"/>
        <w:rPr>
          <w:rFonts w:ascii="Times New Roman" w:hAnsi="Times New Roman"/>
          <w:sz w:val="24"/>
          <w:szCs w:val="24"/>
        </w:rPr>
      </w:pPr>
      <w:r>
        <w:rPr>
          <w:rFonts w:ascii="Times New Roman" w:hAnsi="Times New Roman"/>
          <w:sz w:val="24"/>
          <w:szCs w:val="24"/>
        </w:rPr>
        <w:t>OPĆINA VELA LUKA</w:t>
      </w:r>
    </w:p>
    <w:p>
      <w:pPr>
        <w:pStyle w:val="Normal"/>
        <w:bidi w:val="0"/>
        <w:jc w:val="both"/>
        <w:rPr>
          <w:rFonts w:ascii="Times New Roman" w:hAnsi="Times New Roman"/>
          <w:sz w:val="24"/>
          <w:szCs w:val="24"/>
        </w:rPr>
      </w:pPr>
      <w:r>
        <w:rPr>
          <w:rFonts w:ascii="Times New Roman" w:hAnsi="Times New Roman"/>
          <w:sz w:val="24"/>
          <w:szCs w:val="24"/>
        </w:rPr>
        <w:t>Općinsko vijeće</w:t>
      </w:r>
    </w:p>
    <w:p>
      <w:pPr>
        <w:pStyle w:val="Normal"/>
        <w:bidi w:val="0"/>
        <w:jc w:val="both"/>
        <w:rPr>
          <w:rFonts w:ascii="Times New Roman" w:hAnsi="Times New Roman"/>
          <w:sz w:val="24"/>
          <w:szCs w:val="24"/>
        </w:rPr>
      </w:pPr>
      <w:r>
        <w:rPr>
          <w:rFonts w:ascii="Times New Roman" w:hAnsi="Times New Roman"/>
          <w:sz w:val="24"/>
          <w:szCs w:val="24"/>
        </w:rPr>
      </w:r>
    </w:p>
    <w:p>
      <w:pPr>
        <w:pStyle w:val="Normal"/>
        <w:bidi w:val="0"/>
        <w:jc w:val="both"/>
        <w:rPr>
          <w:rFonts w:ascii="Times New Roman" w:hAnsi="Times New Roman"/>
          <w:sz w:val="24"/>
          <w:szCs w:val="24"/>
        </w:rPr>
      </w:pPr>
      <w:r>
        <w:rPr>
          <w:rFonts w:ascii="Times New Roman" w:hAnsi="Times New Roman"/>
          <w:sz w:val="24"/>
          <w:szCs w:val="24"/>
        </w:rPr>
        <w:t>KLASA: ________________</w:t>
      </w:r>
    </w:p>
    <w:p>
      <w:pPr>
        <w:pStyle w:val="Normal"/>
        <w:bidi w:val="0"/>
        <w:jc w:val="both"/>
        <w:rPr>
          <w:rFonts w:ascii="Times New Roman" w:hAnsi="Times New Roman"/>
          <w:sz w:val="24"/>
          <w:szCs w:val="24"/>
        </w:rPr>
      </w:pPr>
      <w:r>
        <w:rPr>
          <w:rFonts w:ascii="Times New Roman" w:hAnsi="Times New Roman"/>
          <w:sz w:val="24"/>
          <w:szCs w:val="24"/>
        </w:rPr>
        <w:t>URBROJ: ________________</w:t>
      </w:r>
    </w:p>
    <w:p>
      <w:pPr>
        <w:pStyle w:val="Normal"/>
        <w:bidi w:val="0"/>
        <w:jc w:val="both"/>
        <w:rPr>
          <w:rFonts w:ascii="Times New Roman" w:hAnsi="Times New Roman"/>
          <w:sz w:val="24"/>
          <w:szCs w:val="24"/>
        </w:rPr>
      </w:pPr>
      <w:r>
        <w:rPr>
          <w:rFonts w:ascii="Times New Roman" w:hAnsi="Times New Roman"/>
          <w:sz w:val="24"/>
          <w:szCs w:val="24"/>
        </w:rPr>
        <w:t>Vela Luka, __.__.2025. godine</w:t>
      </w:r>
    </w:p>
    <w:p>
      <w:pPr>
        <w:pStyle w:val="Normal"/>
        <w:bidi w:val="0"/>
        <w:jc w:val="both"/>
        <w:rPr>
          <w:rFonts w:ascii="Times New Roman" w:hAnsi="Times New Roman"/>
          <w:sz w:val="24"/>
          <w:szCs w:val="24"/>
        </w:rPr>
      </w:pPr>
      <w:r>
        <w:rPr>
          <w:rFonts w:ascii="Times New Roman" w:hAnsi="Times New Roman"/>
          <w:sz w:val="24"/>
          <w:szCs w:val="24"/>
        </w:rPr>
      </w:r>
    </w:p>
    <w:p>
      <w:pPr>
        <w:pStyle w:val="Normal"/>
        <w:bidi w:val="0"/>
        <w:jc w:val="both"/>
        <w:rPr>
          <w:rFonts w:ascii="Times New Roman" w:hAnsi="Times New Roman"/>
          <w:sz w:val="24"/>
          <w:szCs w:val="24"/>
        </w:rPr>
      </w:pPr>
      <w:r>
        <w:rPr>
          <w:rFonts w:ascii="Times New Roman" w:hAnsi="Times New Roman"/>
          <w:sz w:val="24"/>
          <w:szCs w:val="24"/>
        </w:rPr>
      </w:r>
    </w:p>
    <w:p>
      <w:pPr>
        <w:pStyle w:val="Normal"/>
        <w:bidi w:val="0"/>
        <w:jc w:val="both"/>
        <w:rPr>
          <w:rFonts w:ascii="Times New Roman" w:hAnsi="Times New Roman"/>
          <w:sz w:val="24"/>
          <w:szCs w:val="24"/>
        </w:rPr>
      </w:pPr>
      <w:r>
        <w:rPr>
          <w:rFonts w:ascii="Times New Roman" w:hAnsi="Times New Roman"/>
          <w:sz w:val="24"/>
          <w:szCs w:val="24"/>
        </w:rPr>
        <w:t>Temeljem članka 17. stavak 1. Zakona o civilnoj zaštiti (Narodne novine 81/15, 118/18, 31/20, 20/21 i 114/22), dalje: Zakon, Općinsko vijeće Općine Vela Luka je na svojoj __ sjednici održanoj dana ___________. godine usvojilo</w:t>
      </w:r>
    </w:p>
    <w:p>
      <w:pPr>
        <w:pStyle w:val="Normal"/>
        <w:bidi w:val="0"/>
        <w:jc w:val="both"/>
        <w:rPr>
          <w:rFonts w:ascii="Times New Roman" w:hAnsi="Times New Roman"/>
          <w:sz w:val="24"/>
          <w:szCs w:val="24"/>
        </w:rPr>
      </w:pPr>
      <w:r>
        <w:rPr>
          <w:rFonts w:ascii="Times New Roman" w:hAnsi="Times New Roman"/>
          <w:sz w:val="24"/>
          <w:szCs w:val="24"/>
        </w:rPr>
      </w:r>
    </w:p>
    <w:p>
      <w:pPr>
        <w:pStyle w:val="Normal"/>
        <w:bidi w:val="0"/>
        <w:jc w:val="both"/>
        <w:rPr>
          <w:rFonts w:ascii="Times New Roman" w:hAnsi="Times New Roman"/>
          <w:sz w:val="24"/>
          <w:szCs w:val="24"/>
        </w:rPr>
      </w:pPr>
      <w:r>
        <w:rPr>
          <w:rFonts w:ascii="Times New Roman" w:hAnsi="Times New Roman"/>
          <w:sz w:val="24"/>
          <w:szCs w:val="24"/>
        </w:rPr>
      </w:r>
    </w:p>
    <w:p>
      <w:pPr>
        <w:pStyle w:val="Normal"/>
        <w:bidi w:val="0"/>
        <w:jc w:val="center"/>
        <w:rPr>
          <w:rFonts w:ascii="Times New Roman" w:hAnsi="Times New Roman"/>
          <w:sz w:val="24"/>
          <w:szCs w:val="24"/>
        </w:rPr>
      </w:pPr>
      <w:r>
        <w:rPr>
          <w:rFonts w:ascii="Times New Roman" w:hAnsi="Times New Roman"/>
          <w:sz w:val="24"/>
          <w:szCs w:val="24"/>
        </w:rPr>
        <w:t>GODIŠNJI PLAN</w:t>
      </w:r>
    </w:p>
    <w:p>
      <w:pPr>
        <w:pStyle w:val="Normal"/>
        <w:bidi w:val="0"/>
        <w:jc w:val="center"/>
        <w:rPr>
          <w:rFonts w:ascii="Times New Roman" w:hAnsi="Times New Roman"/>
          <w:sz w:val="24"/>
          <w:szCs w:val="24"/>
        </w:rPr>
      </w:pPr>
      <w:r>
        <w:rPr>
          <w:rFonts w:ascii="Times New Roman" w:hAnsi="Times New Roman"/>
          <w:sz w:val="24"/>
          <w:szCs w:val="24"/>
        </w:rPr>
        <w:t>razvoja sustava civilne zaštite</w:t>
      </w:r>
    </w:p>
    <w:p>
      <w:pPr>
        <w:pStyle w:val="Normal"/>
        <w:bidi w:val="0"/>
        <w:jc w:val="center"/>
        <w:rPr>
          <w:rFonts w:ascii="Times New Roman" w:hAnsi="Times New Roman"/>
          <w:sz w:val="24"/>
          <w:szCs w:val="24"/>
        </w:rPr>
      </w:pPr>
      <w:r>
        <w:rPr>
          <w:rFonts w:ascii="Times New Roman" w:hAnsi="Times New Roman"/>
          <w:sz w:val="24"/>
          <w:szCs w:val="24"/>
        </w:rPr>
        <w:t>na području Općine Vela Luka u 2026. godini</w:t>
      </w:r>
    </w:p>
    <w:p>
      <w:pPr>
        <w:pStyle w:val="Normal"/>
        <w:bidi w:val="0"/>
        <w:jc w:val="both"/>
        <w:rPr>
          <w:rFonts w:ascii="Times New Roman" w:hAnsi="Times New Roman"/>
          <w:sz w:val="24"/>
          <w:szCs w:val="24"/>
        </w:rPr>
      </w:pPr>
      <w:r>
        <w:rPr>
          <w:rFonts w:ascii="Times New Roman" w:hAnsi="Times New Roman"/>
          <w:sz w:val="24"/>
          <w:szCs w:val="24"/>
        </w:rPr>
      </w:r>
    </w:p>
    <w:p>
      <w:pPr>
        <w:pStyle w:val="Normal"/>
        <w:bidi w:val="0"/>
        <w:jc w:val="both"/>
        <w:rPr>
          <w:rFonts w:ascii="Times New Roman" w:hAnsi="Times New Roman"/>
          <w:b/>
          <w:bCs/>
          <w:sz w:val="24"/>
          <w:szCs w:val="24"/>
        </w:rPr>
      </w:pPr>
      <w:r>
        <w:rPr>
          <w:rFonts w:ascii="Times New Roman" w:hAnsi="Times New Roman"/>
          <w:b/>
          <w:bCs/>
          <w:sz w:val="24"/>
          <w:szCs w:val="24"/>
        </w:rPr>
        <w:t>I. Uvod</w:t>
      </w:r>
    </w:p>
    <w:p>
      <w:pPr>
        <w:pStyle w:val="Normal"/>
        <w:bidi w:val="0"/>
        <w:jc w:val="both"/>
        <w:rPr>
          <w:rFonts w:ascii="Times New Roman" w:hAnsi="Times New Roman"/>
          <w:sz w:val="24"/>
          <w:szCs w:val="24"/>
        </w:rPr>
      </w:pPr>
      <w:r>
        <w:rPr>
          <w:rFonts w:ascii="Times New Roman" w:hAnsi="Times New Roman"/>
          <w:sz w:val="24"/>
          <w:szCs w:val="24"/>
        </w:rPr>
        <w:t>Obveza predstavničkog tijela da, na prijedlog izvršnog tijela jedinice lokalne samouprave u postupku donošenja proračuna razmatra i usvaja godišnju analizu stanja i godišnji plan razvoja sustava civilne zaštite s financijskim učincima za trogodišnje razdoblje te smjernice za organizaciju i razvoj sustava koje se usvajaju i razmatraju svake četiri godine sukladno članku 17. stavak 1. Zakona.</w:t>
      </w:r>
    </w:p>
    <w:p>
      <w:pPr>
        <w:pStyle w:val="Normal"/>
        <w:bidi w:val="0"/>
        <w:jc w:val="both"/>
        <w:rPr>
          <w:rFonts w:ascii="Times New Roman" w:hAnsi="Times New Roman"/>
          <w:sz w:val="24"/>
          <w:szCs w:val="24"/>
        </w:rPr>
      </w:pPr>
      <w:r>
        <w:rPr>
          <w:rFonts w:ascii="Times New Roman" w:hAnsi="Times New Roman"/>
          <w:sz w:val="24"/>
          <w:szCs w:val="24"/>
        </w:rPr>
      </w:r>
    </w:p>
    <w:p>
      <w:pPr>
        <w:pStyle w:val="Normal"/>
        <w:bidi w:val="0"/>
        <w:jc w:val="both"/>
        <w:rPr>
          <w:rFonts w:ascii="Times New Roman" w:hAnsi="Times New Roman"/>
          <w:sz w:val="24"/>
          <w:szCs w:val="24"/>
        </w:rPr>
      </w:pPr>
      <w:r>
        <w:rPr>
          <w:rFonts w:ascii="Times New Roman" w:hAnsi="Times New Roman"/>
          <w:sz w:val="24"/>
          <w:szCs w:val="24"/>
        </w:rPr>
        <w:t>Ovaj Godišnji Plan temelji se na "Godišnjoj analizi stanja sustava civilne zaštite na području općine Vela Luka u 2026. godini" (dalje: Godišnja analiza) i razmjeru opasnosti od velikih nesreća utvrđenih "Procjenom rizika od velikih nesreća za općinu Vela Luka".</w:t>
      </w:r>
    </w:p>
    <w:p>
      <w:pPr>
        <w:pStyle w:val="Normal"/>
        <w:bidi w:val="0"/>
        <w:jc w:val="both"/>
        <w:rPr>
          <w:rFonts w:ascii="Times New Roman" w:hAnsi="Times New Roman"/>
          <w:sz w:val="24"/>
          <w:szCs w:val="24"/>
        </w:rPr>
      </w:pPr>
      <w:r>
        <w:rPr>
          <w:rFonts w:ascii="Times New Roman" w:hAnsi="Times New Roman"/>
          <w:sz w:val="24"/>
          <w:szCs w:val="24"/>
        </w:rPr>
      </w:r>
    </w:p>
    <w:p>
      <w:pPr>
        <w:pStyle w:val="Normal"/>
        <w:bidi w:val="0"/>
        <w:jc w:val="both"/>
        <w:rPr>
          <w:rFonts w:ascii="Times New Roman" w:hAnsi="Times New Roman"/>
          <w:color w:val="FF4000"/>
          <w:sz w:val="24"/>
          <w:szCs w:val="24"/>
        </w:rPr>
      </w:pPr>
      <w:r>
        <w:rPr>
          <w:rFonts w:ascii="Times New Roman" w:hAnsi="Times New Roman"/>
          <w:color w:val="1C1C1C"/>
          <w:sz w:val="24"/>
          <w:szCs w:val="24"/>
        </w:rPr>
        <w:t>Također se temelji na "Smjernicama za organizaciju i razvoj sustava civilne zaštite na području Općine Vela Luka za razdoblje 2026-2029. godine" Općinskog vijeća. "Smjernice za organizaciju i razvoj sustava civilne zaštite na području Općine Vela Luka za razdoblje 2026- 2029. godine" su donesene u skladu "Pravilnikom o nositeljima, sadržaju i postupcima izrade planskih dokumenata u civilnoj zaštiti te načinu informiranja javnosti u postupku njihovog donošenja" (Narodne novine 66/21), dalje: Pravilnik, koji je u svom dijelu</w:t>
      </w:r>
      <w:r>
        <w:rPr>
          <w:rFonts w:ascii="Times New Roman" w:hAnsi="Times New Roman"/>
          <w:color w:val="000000"/>
          <w:sz w:val="24"/>
          <w:szCs w:val="24"/>
        </w:rPr>
        <w:t xml:space="preserve"> "II. Planski dokumenti", točki "7" </w:t>
      </w:r>
      <w:r>
        <w:rPr>
          <w:rFonts w:ascii="Times New Roman" w:hAnsi="Times New Roman"/>
          <w:color w:val="1C1C1C"/>
          <w:sz w:val="24"/>
          <w:szCs w:val="24"/>
        </w:rPr>
        <w:t>odredio da se "smjernicama utvrđuju prioriteti lokalne vlasti na području civilne zaštite za rok od 4 godine." (članak 49. stavak 1. Pravilnika), te da se te 4 godine odnose na mandatno razdoblje (članak 48. stavak 1. Pravilnika).</w:t>
      </w:r>
    </w:p>
    <w:p>
      <w:pPr>
        <w:pStyle w:val="Normal"/>
        <w:bidi w:val="0"/>
        <w:jc w:val="both"/>
        <w:rPr>
          <w:rFonts w:ascii="Times New Roman" w:hAnsi="Times New Roman"/>
          <w:sz w:val="24"/>
          <w:szCs w:val="24"/>
        </w:rPr>
      </w:pPr>
      <w:r>
        <w:rPr>
          <w:rFonts w:ascii="Times New Roman" w:hAnsi="Times New Roman"/>
          <w:sz w:val="24"/>
          <w:szCs w:val="24"/>
        </w:rPr>
      </w:r>
    </w:p>
    <w:p>
      <w:pPr>
        <w:pStyle w:val="Normal"/>
        <w:bidi w:val="0"/>
        <w:jc w:val="both"/>
        <w:rPr>
          <w:rFonts w:ascii="Times New Roman" w:hAnsi="Times New Roman"/>
          <w:sz w:val="24"/>
          <w:szCs w:val="24"/>
        </w:rPr>
      </w:pPr>
      <w:r>
        <w:rPr>
          <w:rFonts w:ascii="Times New Roman" w:hAnsi="Times New Roman"/>
          <w:sz w:val="24"/>
          <w:szCs w:val="24"/>
        </w:rPr>
        <w:t>"Godišnji plan razvoja sustava civilne zaštite predstavlja dokument za implementaciju ciljeva iz Smjernica..." (članak 52. stavak 1. Pravilnika). "Godišnjim planom ... utvrđuju se nositelji, suradnici, rokovi za realizaciju ciljeva u narednoj godini te projekcija s financijskim učincima za trogodišnje razdoblje, odnos do zaključenja ciklusa/razdoblja za koje se Smjernice usvajaju." (stavak 2. istog članka Pravilnika).</w:t>
      </w:r>
    </w:p>
    <w:p>
      <w:pPr>
        <w:pStyle w:val="Normal"/>
        <w:bidi w:val="0"/>
        <w:jc w:val="both"/>
        <w:rPr>
          <w:rFonts w:ascii="Times New Roman" w:hAnsi="Times New Roman"/>
          <w:sz w:val="24"/>
          <w:szCs w:val="24"/>
        </w:rPr>
      </w:pPr>
      <w:r>
        <w:rPr>
          <w:rFonts w:ascii="Times New Roman" w:hAnsi="Times New Roman"/>
          <w:sz w:val="24"/>
          <w:szCs w:val="24"/>
        </w:rPr>
      </w:r>
    </w:p>
    <w:p>
      <w:pPr>
        <w:pStyle w:val="Normal"/>
        <w:bidi w:val="0"/>
        <w:jc w:val="both"/>
        <w:rPr>
          <w:rFonts w:ascii="Times New Roman" w:hAnsi="Times New Roman"/>
          <w:b/>
          <w:bCs/>
          <w:color w:val="000000"/>
          <w:sz w:val="24"/>
          <w:szCs w:val="24"/>
        </w:rPr>
      </w:pPr>
      <w:r>
        <w:rPr>
          <w:rFonts w:ascii="Times New Roman" w:hAnsi="Times New Roman"/>
          <w:b/>
          <w:bCs/>
          <w:color w:val="000000"/>
          <w:sz w:val="24"/>
          <w:szCs w:val="24"/>
        </w:rPr>
        <w:t>II. Operativne snage zaštite i spašavanja</w:t>
      </w:r>
    </w:p>
    <w:p>
      <w:pPr>
        <w:pStyle w:val="Normal"/>
        <w:bidi w:val="0"/>
        <w:spacing w:before="57" w:after="57"/>
        <w:jc w:val="both"/>
        <w:rPr>
          <w:rFonts w:ascii="Times New Roman" w:hAnsi="Times New Roman"/>
          <w:color w:val="FF4000"/>
          <w:sz w:val="24"/>
          <w:szCs w:val="24"/>
        </w:rPr>
      </w:pPr>
      <w:r>
        <w:rPr>
          <w:rFonts w:ascii="Times New Roman" w:hAnsi="Times New Roman"/>
          <w:color w:val="000000"/>
          <w:sz w:val="24"/>
          <w:szCs w:val="24"/>
        </w:rPr>
        <w:t>Operativne snage zaštite i spašavanja definirane su člankom 20. Zakona. Stanje tih snaga Općine Vela Luka utvrđeno je u točki II spomenutih "Smjernica za organizaciju i razvoj sustava civilne zaštite na području Općine Vela Luka za razdoblje 202</w:t>
      </w:r>
      <w:r>
        <w:rPr>
          <w:rFonts w:ascii="Times New Roman" w:hAnsi="Times New Roman"/>
          <w:color w:val="000000"/>
          <w:sz w:val="24"/>
          <w:szCs w:val="24"/>
        </w:rPr>
        <w:t>6</w:t>
      </w:r>
      <w:r>
        <w:rPr>
          <w:rFonts w:ascii="Times New Roman" w:hAnsi="Times New Roman"/>
          <w:color w:val="000000"/>
          <w:sz w:val="24"/>
          <w:szCs w:val="24"/>
        </w:rPr>
        <w:t>-202</w:t>
      </w:r>
      <w:r>
        <w:rPr>
          <w:rFonts w:ascii="Times New Roman" w:hAnsi="Times New Roman"/>
          <w:color w:val="000000"/>
          <w:sz w:val="24"/>
          <w:szCs w:val="24"/>
        </w:rPr>
        <w:t>9</w:t>
      </w:r>
      <w:r>
        <w:rPr>
          <w:rFonts w:ascii="Times New Roman" w:hAnsi="Times New Roman"/>
          <w:color w:val="000000"/>
          <w:sz w:val="24"/>
          <w:szCs w:val="24"/>
        </w:rPr>
        <w:t>. godine", dalje u tekstu: Smjernice, odnosno točki II Godišnje analize stanja sustava civilne zaštite na području Općine Vela Luka u 2025. godini.</w:t>
      </w:r>
    </w:p>
    <w:p>
      <w:pPr>
        <w:pStyle w:val="Normal"/>
        <w:bidi w:val="0"/>
        <w:spacing w:before="57" w:after="57"/>
        <w:jc w:val="both"/>
        <w:rPr>
          <w:rFonts w:ascii="Times New Roman" w:hAnsi="Times New Roman"/>
          <w:color w:val="000000"/>
          <w:sz w:val="24"/>
          <w:szCs w:val="24"/>
        </w:rPr>
      </w:pPr>
      <w:r>
        <w:rPr>
          <w:rFonts w:ascii="Times New Roman" w:hAnsi="Times New Roman"/>
          <w:color w:val="000000"/>
          <w:sz w:val="24"/>
          <w:szCs w:val="24"/>
        </w:rPr>
      </w:r>
    </w:p>
    <w:p>
      <w:pPr>
        <w:pStyle w:val="Normal"/>
        <w:bidi w:val="0"/>
        <w:spacing w:before="114" w:after="114"/>
        <w:jc w:val="both"/>
        <w:rPr>
          <w:rFonts w:ascii="Times New Roman" w:hAnsi="Times New Roman"/>
          <w:b/>
          <w:bCs/>
          <w:sz w:val="24"/>
          <w:szCs w:val="24"/>
        </w:rPr>
      </w:pPr>
      <w:r>
        <w:rPr>
          <w:rFonts w:ascii="Times New Roman" w:hAnsi="Times New Roman"/>
          <w:b/>
          <w:bCs/>
          <w:sz w:val="24"/>
          <w:szCs w:val="24"/>
        </w:rPr>
        <w:t>II.1. Stožer civilne zaštite</w:t>
      </w:r>
    </w:p>
    <w:p>
      <w:pPr>
        <w:pStyle w:val="Normal"/>
        <w:bidi w:val="0"/>
        <w:spacing w:before="114" w:after="114"/>
        <w:jc w:val="both"/>
        <w:rPr>
          <w:rFonts w:ascii="Times New Roman" w:hAnsi="Times New Roman"/>
          <w:sz w:val="24"/>
          <w:szCs w:val="24"/>
        </w:rPr>
      </w:pPr>
      <w:r>
        <w:rPr>
          <w:rFonts w:ascii="Times New Roman" w:hAnsi="Times New Roman"/>
          <w:sz w:val="24"/>
          <w:szCs w:val="24"/>
        </w:rPr>
        <w:t xml:space="preserve">Služba civilne zaštite Dubrovnik nije najavila osposobljavanje Stožera </w:t>
      </w:r>
      <w:r>
        <w:rPr>
          <w:rFonts w:ascii="Times New Roman" w:hAnsi="Times New Roman"/>
          <w:sz w:val="24"/>
          <w:szCs w:val="24"/>
        </w:rPr>
        <w:t>u 2026.g</w:t>
      </w:r>
      <w:r>
        <w:rPr>
          <w:rFonts w:ascii="Times New Roman" w:hAnsi="Times New Roman"/>
          <w:sz w:val="24"/>
          <w:szCs w:val="24"/>
        </w:rPr>
        <w:t xml:space="preserve">. Međutim potrebno je predvidjeti troškove putovanja načelnika Stožera, ili druge osobe, u Dubrovnik na uobičajeni sastanak za pripremu ljetne i/ili zimske sezone. U skladu s Smjernicama, točka X.II.1.1., za svaku godinu potrebno je u proračunu predvidjeti za troškove putovanja članova Stožera po </w:t>
      </w:r>
      <w:r>
        <w:rPr>
          <w:rFonts w:ascii="Times New Roman" w:hAnsi="Times New Roman"/>
          <w:color w:val="000000"/>
          <w:sz w:val="24"/>
          <w:szCs w:val="24"/>
        </w:rPr>
        <w:t>70,00 eura.</w:t>
      </w:r>
      <w:r>
        <w:rPr>
          <w:rFonts w:ascii="Times New Roman" w:hAnsi="Times New Roman"/>
          <w:sz w:val="24"/>
          <w:szCs w:val="24"/>
        </w:rPr>
        <w:t xml:space="preserve"> Smjernicama nisu planirana rezerviranja za putovanja (i dnevnice) članova Stožera civilne zaštite Općine Vela Luka koji prebivaju izvan Vele Luke za vrijeme izvršavanja dužnosti člana Stožera, niti za slučajeve mobiliziranja Stožera.</w:t>
      </w:r>
    </w:p>
    <w:p>
      <w:pPr>
        <w:pStyle w:val="Normal"/>
        <w:bidi w:val="0"/>
        <w:jc w:val="both"/>
        <w:rPr>
          <w:rFonts w:ascii="Times New Roman" w:hAnsi="Times New Roman"/>
          <w:sz w:val="24"/>
          <w:szCs w:val="24"/>
        </w:rPr>
      </w:pPr>
      <w:r>
        <w:rPr>
          <w:rFonts w:ascii="Times New Roman" w:hAnsi="Times New Roman"/>
          <w:sz w:val="24"/>
          <w:szCs w:val="24"/>
        </w:rPr>
      </w:r>
    </w:p>
    <w:p>
      <w:pPr>
        <w:pStyle w:val="Normal"/>
        <w:bidi w:val="0"/>
        <w:jc w:val="both"/>
        <w:rPr>
          <w:rFonts w:ascii="Times New Roman" w:hAnsi="Times New Roman"/>
          <w:sz w:val="24"/>
          <w:szCs w:val="24"/>
        </w:rPr>
      </w:pPr>
      <w:r>
        <w:rPr>
          <w:rFonts w:ascii="Times New Roman" w:hAnsi="Times New Roman"/>
          <w:sz w:val="24"/>
          <w:szCs w:val="24"/>
        </w:rPr>
        <w:t xml:space="preserve">U skladu s Planom vježbi civilne zaštite u 2026. godini </w:t>
      </w:r>
      <w:r>
        <w:rPr>
          <w:rFonts w:ascii="Times New Roman" w:hAnsi="Times New Roman"/>
          <w:sz w:val="24"/>
          <w:szCs w:val="24"/>
        </w:rPr>
        <w:t xml:space="preserve">(kojeg je donijela </w:t>
      </w:r>
      <w:r>
        <w:rPr>
          <w:rFonts w:ascii="Times New Roman" w:hAnsi="Times New Roman"/>
          <w:sz w:val="24"/>
          <w:szCs w:val="24"/>
        </w:rPr>
        <w:t>Općinska načelnica 20.06.2025. godine) planira se vježba "Mobilizacija postrojbe civilne zaštite opće namjene Općine Vela Luka". Ovom će se vježbom uvježbati samo jedan od načina uzbunjivanja. Vježba će se pripadnicima najaviti. Tijekom trajanja vježbe će se pripadnici upoznati sa svojim pravima i dužnostima koje im proističu iz pripadnosti postrojbi, te će im se prenijeti novi raspored unutar postrojbe budući se planira ažuriranje članova. Rokove izvršenja vježbe odredit će nositelj vježbe (načelnik Stožera) u skladu s člankom 7. Pravilnika o vrstama u načinu provođenja vježbi operativnih snaga sustava civilne zaštite (Narodne novine 49/16). Stožer je dužan izvršavati pripreme za požarnu kao i za zimsku sezonu.</w:t>
      </w:r>
    </w:p>
    <w:p>
      <w:pPr>
        <w:pStyle w:val="Normal"/>
        <w:bidi w:val="0"/>
        <w:jc w:val="both"/>
        <w:rPr>
          <w:rFonts w:ascii="Times New Roman" w:hAnsi="Times New Roman"/>
          <w:sz w:val="24"/>
          <w:szCs w:val="24"/>
        </w:rPr>
      </w:pPr>
      <w:r>
        <w:rPr>
          <w:rFonts w:ascii="Times New Roman" w:hAnsi="Times New Roman"/>
          <w:sz w:val="24"/>
          <w:szCs w:val="24"/>
        </w:rPr>
      </w:r>
    </w:p>
    <w:p>
      <w:pPr>
        <w:pStyle w:val="Normal"/>
        <w:bidi w:val="0"/>
        <w:spacing w:before="0" w:after="0"/>
        <w:jc w:val="both"/>
        <w:rPr>
          <w:rFonts w:ascii="Times New Roman" w:hAnsi="Times New Roman"/>
          <w:b/>
          <w:bCs/>
          <w:sz w:val="24"/>
          <w:szCs w:val="24"/>
        </w:rPr>
      </w:pPr>
      <w:r>
        <w:rPr>
          <w:rFonts w:ascii="Times New Roman" w:hAnsi="Times New Roman"/>
          <w:b/>
          <w:bCs/>
          <w:sz w:val="24"/>
          <w:szCs w:val="24"/>
        </w:rPr>
        <w:t>II.2. Postrojba civilne zaštite</w:t>
      </w:r>
    </w:p>
    <w:p>
      <w:pPr>
        <w:pStyle w:val="Normal"/>
        <w:bidi w:val="0"/>
        <w:spacing w:before="0" w:after="0"/>
        <w:jc w:val="both"/>
        <w:rPr>
          <w:rFonts w:ascii="Times New Roman" w:hAnsi="Times New Roman"/>
          <w:sz w:val="24"/>
          <w:szCs w:val="24"/>
        </w:rPr>
      </w:pPr>
      <w:r>
        <w:rPr>
          <w:rFonts w:ascii="Times New Roman" w:hAnsi="Times New Roman"/>
          <w:sz w:val="24"/>
          <w:szCs w:val="24"/>
        </w:rPr>
        <w:t xml:space="preserve">Redoviti troškovi postrojbe predviđeni (procijenjeni) Smjernicama </w:t>
      </w:r>
      <w:r>
        <w:rPr>
          <w:rFonts w:ascii="Times New Roman" w:hAnsi="Times New Roman"/>
          <w:color w:val="000000"/>
          <w:sz w:val="24"/>
          <w:szCs w:val="24"/>
        </w:rPr>
        <w:t xml:space="preserve">(točka </w:t>
      </w:r>
      <w:r>
        <w:rPr>
          <w:rFonts w:ascii="Times New Roman" w:hAnsi="Times New Roman"/>
          <w:color w:val="000000"/>
          <w:sz w:val="24"/>
          <w:szCs w:val="24"/>
        </w:rPr>
        <w:t>X</w:t>
      </w:r>
      <w:r>
        <w:rPr>
          <w:rFonts w:ascii="Times New Roman" w:hAnsi="Times New Roman"/>
          <w:color w:val="000000"/>
          <w:sz w:val="24"/>
          <w:szCs w:val="24"/>
        </w:rPr>
        <w:t>)</w:t>
      </w:r>
      <w:r>
        <w:rPr>
          <w:rFonts w:ascii="Times New Roman" w:hAnsi="Times New Roman"/>
          <w:sz w:val="24"/>
          <w:szCs w:val="24"/>
        </w:rPr>
        <w:t xml:space="preserve"> trebaju se planirati i za 2026. godinu, odnosno raspoređuju se kako stoji u tablici ovog Plana</w:t>
      </w:r>
      <w:r>
        <w:rPr>
          <w:rFonts w:ascii="Times New Roman" w:hAnsi="Times New Roman"/>
          <w:color w:val="FF0000"/>
          <w:sz w:val="24"/>
          <w:szCs w:val="24"/>
        </w:rPr>
        <w:t xml:space="preserve">. </w:t>
      </w:r>
      <w:r>
        <w:rPr>
          <w:rFonts w:ascii="Times New Roman" w:hAnsi="Times New Roman"/>
          <w:color w:val="auto"/>
          <w:sz w:val="24"/>
          <w:szCs w:val="24"/>
        </w:rPr>
        <w:t>Nabavka se planira nakon što budu imenovani novi članovi postrojbe. Proračunom u 2026., kao ni 2027. i 2028. nisu planirani troškovi povlastica pripadnicima postrojbe i povjerenicima, ali potrebno je da Općinsko vijeće u narednim godinama razmotri mogućnosti vrednovanja angažiranja pripadnika postrojbe (i povjerenika), određenim povlasticama ili drugačije (mogućnost predviđena člankom 16. stavkom 3. Pravilnika o mobilizaciji, uvjetima i načinu rada operativnih snaga sustava civilne zaštite – Narodne novine 69/16). U 202</w:t>
      </w:r>
      <w:r>
        <w:rPr>
          <w:rFonts w:ascii="Times New Roman" w:hAnsi="Times New Roman"/>
          <w:color w:val="auto"/>
          <w:sz w:val="24"/>
          <w:szCs w:val="24"/>
        </w:rPr>
        <w:t>6</w:t>
      </w:r>
      <w:r>
        <w:rPr>
          <w:rFonts w:ascii="Times New Roman" w:hAnsi="Times New Roman"/>
          <w:color w:val="auto"/>
          <w:sz w:val="24"/>
          <w:szCs w:val="24"/>
        </w:rPr>
        <w:t>. godini nastavit će se nastojanja da se postrojba popuni.</w:t>
      </w:r>
    </w:p>
    <w:p>
      <w:pPr>
        <w:pStyle w:val="Normal"/>
        <w:bidi w:val="0"/>
        <w:spacing w:before="57" w:after="57"/>
        <w:jc w:val="both"/>
        <w:rPr>
          <w:rFonts w:ascii="Times New Roman" w:hAnsi="Times New Roman"/>
          <w:color w:val="FF0000"/>
          <w:sz w:val="24"/>
          <w:szCs w:val="24"/>
        </w:rPr>
      </w:pPr>
      <w:r>
        <w:rPr>
          <w:rFonts w:ascii="Times New Roman" w:hAnsi="Times New Roman"/>
          <w:color w:val="FF0000"/>
          <w:sz w:val="24"/>
          <w:szCs w:val="24"/>
        </w:rPr>
      </w:r>
    </w:p>
    <w:p>
      <w:pPr>
        <w:pStyle w:val="Normal"/>
        <w:bidi w:val="0"/>
        <w:jc w:val="both"/>
        <w:rPr>
          <w:rFonts w:ascii="Times New Roman" w:hAnsi="Times New Roman"/>
          <w:b/>
          <w:bCs/>
          <w:sz w:val="24"/>
          <w:szCs w:val="24"/>
        </w:rPr>
      </w:pPr>
      <w:r>
        <w:rPr>
          <w:rFonts w:ascii="Times New Roman" w:hAnsi="Times New Roman"/>
          <w:b/>
          <w:bCs/>
          <w:sz w:val="24"/>
          <w:szCs w:val="24"/>
        </w:rPr>
        <w:t>II. 3. Povjerenici civilne zaštite</w:t>
      </w:r>
    </w:p>
    <w:p>
      <w:pPr>
        <w:pStyle w:val="Normal"/>
        <w:bidi w:val="0"/>
        <w:spacing w:before="0" w:after="0"/>
        <w:jc w:val="both"/>
        <w:rPr>
          <w:color w:val="000000"/>
        </w:rPr>
      </w:pPr>
      <w:r>
        <w:rPr>
          <w:rFonts w:ascii="Times New Roman" w:hAnsi="Times New Roman"/>
          <w:color w:val="000000"/>
          <w:sz w:val="24"/>
          <w:szCs w:val="24"/>
        </w:rPr>
        <w:t xml:space="preserve">Planira se </w:t>
      </w:r>
      <w:r>
        <w:rPr>
          <w:rFonts w:ascii="Times New Roman" w:hAnsi="Times New Roman"/>
          <w:color w:val="000000"/>
          <w:sz w:val="24"/>
          <w:szCs w:val="24"/>
        </w:rPr>
        <w:t xml:space="preserve">imenovanje novih povjerenika i njihovih zamjenika. </w:t>
      </w:r>
      <w:r>
        <w:rPr>
          <w:rFonts w:ascii="Times New Roman" w:hAnsi="Times New Roman"/>
          <w:color w:val="000000"/>
          <w:sz w:val="24"/>
          <w:szCs w:val="24"/>
        </w:rPr>
        <w:t xml:space="preserve">U 2026. godini planira se nastaviti s traženjem kandidata te nakon imenovanja povjerenika, planira se opremanje povjerenika. U Planu vježbi civilne zaštite u 2026. godini </w:t>
      </w:r>
      <w:r>
        <w:rPr>
          <w:rFonts w:ascii="Times New Roman" w:hAnsi="Times New Roman"/>
          <w:color w:val="000000"/>
          <w:sz w:val="24"/>
          <w:szCs w:val="24"/>
        </w:rPr>
        <w:t xml:space="preserve">(Općinska načelnica 20.06.2025. godine), </w:t>
      </w:r>
      <w:r>
        <w:rPr>
          <w:rFonts w:ascii="Times New Roman" w:hAnsi="Times New Roman"/>
          <w:color w:val="000000"/>
          <w:sz w:val="24"/>
          <w:szCs w:val="24"/>
        </w:rPr>
        <w:t>planirana je vježba "Mobilizacija postrojbe civilne zaštite opće namjene Općine Vela Luka".  Rokove izvršenja vježbe odredit će nositelj vježbe (načelnik Stožera u suradnji s upravnim odjelom pri kojemu Stožer djeluje) u skladu s člankom 7. Pravilnika o vrstama u načinu provođenja vježbi operativnih snaga sustava civilne zaštite (Narodne novine 49/16).</w:t>
      </w:r>
    </w:p>
    <w:p>
      <w:pPr>
        <w:pStyle w:val="Normal"/>
        <w:bidi w:val="0"/>
        <w:spacing w:before="0" w:after="0"/>
        <w:jc w:val="both"/>
        <w:rPr>
          <w:rFonts w:ascii="Times New Roman" w:hAnsi="Times New Roman"/>
          <w:color w:val="000000"/>
          <w:sz w:val="24"/>
          <w:szCs w:val="24"/>
        </w:rPr>
      </w:pPr>
      <w:r>
        <w:rPr>
          <w:rFonts w:ascii="Times New Roman" w:hAnsi="Times New Roman"/>
          <w:color w:val="000000"/>
          <w:sz w:val="24"/>
          <w:szCs w:val="24"/>
        </w:rPr>
      </w:r>
    </w:p>
    <w:p>
      <w:pPr>
        <w:pStyle w:val="Normal"/>
        <w:bidi w:val="0"/>
        <w:jc w:val="both"/>
        <w:rPr>
          <w:rFonts w:ascii="Times New Roman" w:hAnsi="Times New Roman"/>
          <w:b/>
          <w:bCs/>
          <w:sz w:val="24"/>
          <w:szCs w:val="24"/>
        </w:rPr>
      </w:pPr>
      <w:r>
        <w:rPr>
          <w:rFonts w:ascii="Times New Roman" w:hAnsi="Times New Roman"/>
          <w:b/>
          <w:bCs/>
          <w:sz w:val="24"/>
          <w:szCs w:val="24"/>
        </w:rPr>
        <w:t>II.4. Udruge građana od značaja za civilnu zaštitu</w:t>
      </w:r>
    </w:p>
    <w:p>
      <w:pPr>
        <w:pStyle w:val="Normal"/>
        <w:bidi w:val="0"/>
        <w:spacing w:before="0" w:after="0"/>
        <w:jc w:val="both"/>
        <w:rPr>
          <w:rFonts w:ascii="Times New Roman" w:hAnsi="Times New Roman"/>
          <w:sz w:val="24"/>
          <w:szCs w:val="24"/>
        </w:rPr>
      </w:pPr>
      <w:r>
        <w:rPr>
          <w:rFonts w:ascii="Times New Roman" w:hAnsi="Times New Roman"/>
          <w:sz w:val="24"/>
          <w:szCs w:val="24"/>
        </w:rPr>
        <w:t xml:space="preserve">Plan djelovanja civilne zaštite za Općinu Vela Luka nije utvrdio zadaće pojedinih udruga koje su u "Procjeni rizika od velikih nesreća" pobrojane "značajnima za zaštitu i spašavanje" ("Procjena...", točka 2.6.1., Popis operativnih snaga "Mareta", "Zubatac", "Golub" i "Europski centar radio amatera").Pobrojane udruge Općina ne financira redovito zato što su od interesa za civilnu zaštite, nego zbog drugih svojih nastojanja, pa se njihovo financiranje uređuje proračunom, i nije dio "Rekapitulacije ulaganja..." u točki </w:t>
      </w:r>
      <w:r>
        <w:rPr>
          <w:rFonts w:ascii="Times New Roman" w:hAnsi="Times New Roman"/>
          <w:sz w:val="24"/>
          <w:szCs w:val="24"/>
        </w:rPr>
        <w:t>I</w:t>
      </w:r>
      <w:r>
        <w:rPr>
          <w:rFonts w:ascii="Times New Roman" w:hAnsi="Times New Roman"/>
          <w:sz w:val="24"/>
          <w:szCs w:val="24"/>
        </w:rPr>
        <w:t>V ovog Plana.</w:t>
      </w:r>
    </w:p>
    <w:p>
      <w:pPr>
        <w:pStyle w:val="Normal"/>
        <w:bidi w:val="0"/>
        <w:jc w:val="both"/>
        <w:rPr>
          <w:rFonts w:ascii="Times New Roman" w:hAnsi="Times New Roman"/>
          <w:sz w:val="24"/>
          <w:szCs w:val="24"/>
        </w:rPr>
      </w:pPr>
      <w:r>
        <w:rPr>
          <w:rFonts w:ascii="Times New Roman" w:hAnsi="Times New Roman"/>
          <w:sz w:val="24"/>
          <w:szCs w:val="24"/>
        </w:rPr>
      </w:r>
    </w:p>
    <w:p>
      <w:pPr>
        <w:pStyle w:val="Normal"/>
        <w:bidi w:val="0"/>
        <w:jc w:val="both"/>
        <w:rPr>
          <w:rFonts w:ascii="Times New Roman" w:hAnsi="Times New Roman"/>
          <w:sz w:val="24"/>
          <w:szCs w:val="24"/>
        </w:rPr>
      </w:pPr>
      <w:r>
        <w:rPr>
          <w:rFonts w:ascii="Times New Roman" w:hAnsi="Times New Roman"/>
          <w:sz w:val="24"/>
          <w:szCs w:val="24"/>
        </w:rPr>
      </w:r>
    </w:p>
    <w:p>
      <w:pPr>
        <w:pStyle w:val="Normal"/>
        <w:bidi w:val="0"/>
        <w:spacing w:before="0" w:after="0"/>
        <w:jc w:val="both"/>
        <w:rPr>
          <w:rFonts w:ascii="Times New Roman" w:hAnsi="Times New Roman"/>
          <w:b/>
          <w:bCs/>
          <w:sz w:val="24"/>
          <w:szCs w:val="24"/>
        </w:rPr>
      </w:pPr>
      <w:r>
        <w:rPr>
          <w:rFonts w:ascii="Times New Roman" w:hAnsi="Times New Roman"/>
          <w:b/>
          <w:bCs/>
          <w:sz w:val="24"/>
          <w:szCs w:val="24"/>
        </w:rPr>
        <w:t>III. Opremanje sustava civilne zaštite</w:t>
      </w:r>
    </w:p>
    <w:p>
      <w:pPr>
        <w:pStyle w:val="Normal"/>
        <w:bidi w:val="0"/>
        <w:spacing w:before="0" w:after="0"/>
        <w:jc w:val="both"/>
        <w:rPr>
          <w:rFonts w:ascii="Times New Roman" w:hAnsi="Times New Roman"/>
          <w:sz w:val="24"/>
          <w:szCs w:val="24"/>
        </w:rPr>
      </w:pPr>
      <w:r>
        <w:rPr>
          <w:rFonts w:ascii="Times New Roman" w:hAnsi="Times New Roman"/>
          <w:sz w:val="24"/>
          <w:szCs w:val="24"/>
        </w:rPr>
        <w:t>Smjernicama (u točki IX) je planirano 1.061,00 eura godišnje za opremanje sustava civilne zaštite, nakon što Stožer, u svojstvu savjetodavnog tijela, sagleda godišnje potrebe. U 202</w:t>
      </w:r>
      <w:r>
        <w:rPr>
          <w:rFonts w:ascii="Times New Roman" w:hAnsi="Times New Roman"/>
          <w:sz w:val="24"/>
          <w:szCs w:val="24"/>
        </w:rPr>
        <w:t>6</w:t>
      </w:r>
      <w:r>
        <w:rPr>
          <w:rFonts w:ascii="Times New Roman" w:hAnsi="Times New Roman"/>
          <w:sz w:val="24"/>
          <w:szCs w:val="24"/>
        </w:rPr>
        <w:t>. godini planira nabava opreme civilne zaštite i/ili zamjena novom ukoliko se za to javi potreba. Predlaže se načelniku Stožera da bude nositelj ovog cilja, u suradnji s upravnim odjelom pri kojemu Stožer djeluje.</w:t>
      </w:r>
    </w:p>
    <w:p>
      <w:pPr>
        <w:pStyle w:val="Normal"/>
        <w:bidi w:val="0"/>
        <w:jc w:val="both"/>
        <w:rPr>
          <w:rFonts w:ascii="Times New Roman" w:hAnsi="Times New Roman"/>
          <w:sz w:val="24"/>
          <w:szCs w:val="24"/>
        </w:rPr>
      </w:pPr>
      <w:r>
        <w:rPr>
          <w:rFonts w:ascii="Times New Roman" w:hAnsi="Times New Roman"/>
          <w:sz w:val="24"/>
          <w:szCs w:val="24"/>
        </w:rPr>
      </w:r>
    </w:p>
    <w:p>
      <w:pPr>
        <w:pStyle w:val="Normal"/>
        <w:bidi w:val="0"/>
        <w:jc w:val="both"/>
        <w:rPr>
          <w:rFonts w:ascii="Times New Roman" w:hAnsi="Times New Roman"/>
          <w:b/>
          <w:bCs/>
          <w:sz w:val="24"/>
          <w:szCs w:val="24"/>
        </w:rPr>
      </w:pPr>
      <w:r>
        <w:rPr>
          <w:rFonts w:ascii="Times New Roman" w:hAnsi="Times New Roman"/>
          <w:b/>
          <w:bCs/>
          <w:sz w:val="24"/>
          <w:szCs w:val="24"/>
        </w:rPr>
        <w:t>IV. Rekapitulacija ulaganja u trogodišnjem planskom razdoblju</w:t>
      </w:r>
    </w:p>
    <w:p>
      <w:pPr>
        <w:pStyle w:val="Normal"/>
        <w:bidi w:val="0"/>
        <w:jc w:val="both"/>
        <w:rPr>
          <w:rFonts w:ascii="Times New Roman" w:hAnsi="Times New Roman"/>
          <w:sz w:val="24"/>
          <w:szCs w:val="24"/>
        </w:rPr>
      </w:pPr>
      <w:r>
        <w:rPr>
          <w:rFonts w:ascii="Times New Roman" w:hAnsi="Times New Roman"/>
          <w:sz w:val="24"/>
          <w:szCs w:val="24"/>
        </w:rPr>
      </w:r>
    </w:p>
    <w:tbl>
      <w:tblPr>
        <w:tblW w:w="9174" w:type="dxa"/>
        <w:jc w:val="left"/>
        <w:tblInd w:w="121" w:type="dxa"/>
        <w:tblLayout w:type="fixed"/>
        <w:tblCellMar>
          <w:top w:w="55" w:type="dxa"/>
          <w:left w:w="55" w:type="dxa"/>
          <w:bottom w:w="55" w:type="dxa"/>
          <w:right w:w="55" w:type="dxa"/>
        </w:tblCellMar>
      </w:tblPr>
      <w:tblGrid>
        <w:gridCol w:w="3060"/>
        <w:gridCol w:w="960"/>
        <w:gridCol w:w="1260"/>
        <w:gridCol w:w="1185"/>
        <w:gridCol w:w="1245"/>
        <w:gridCol w:w="1463"/>
      </w:tblGrid>
      <w:tr>
        <w:trPr/>
        <w:tc>
          <w:tcPr>
            <w:tcW w:w="3060" w:type="dxa"/>
            <w:tcBorders>
              <w:top w:val="single" w:sz="4" w:space="0" w:color="000000"/>
              <w:left w:val="single" w:sz="4" w:space="0" w:color="000000"/>
              <w:bottom w:val="single" w:sz="4" w:space="0" w:color="000000"/>
            </w:tcBorders>
          </w:tcPr>
          <w:p>
            <w:pPr>
              <w:pStyle w:val="Sadrajitablice"/>
              <w:rPr>
                <w:rFonts w:ascii="Times New Roman" w:hAnsi="Times New Roman"/>
                <w:sz w:val="24"/>
                <w:szCs w:val="24"/>
              </w:rPr>
            </w:pPr>
            <w:r>
              <w:rPr>
                <w:rFonts w:ascii="Times New Roman" w:hAnsi="Times New Roman"/>
                <w:sz w:val="24"/>
                <w:szCs w:val="24"/>
              </w:rPr>
            </w:r>
          </w:p>
        </w:tc>
        <w:tc>
          <w:tcPr>
            <w:tcW w:w="960" w:type="dxa"/>
            <w:tcBorders>
              <w:top w:val="single" w:sz="4" w:space="0" w:color="000000"/>
              <w:left w:val="single" w:sz="4" w:space="0" w:color="000000"/>
              <w:bottom w:val="single" w:sz="4" w:space="0" w:color="000000"/>
            </w:tcBorders>
          </w:tcPr>
          <w:p>
            <w:pPr>
              <w:pStyle w:val="Sadrajitablice"/>
              <w:jc w:val="center"/>
              <w:rPr>
                <w:rFonts w:ascii="Times New Roman" w:hAnsi="Times New Roman"/>
                <w:b/>
                <w:bCs/>
                <w:sz w:val="24"/>
                <w:szCs w:val="24"/>
              </w:rPr>
            </w:pPr>
            <w:r>
              <w:rPr>
                <w:rFonts w:ascii="Times New Roman" w:hAnsi="Times New Roman"/>
                <w:b/>
                <w:bCs/>
                <w:sz w:val="24"/>
                <w:szCs w:val="24"/>
              </w:rPr>
              <w:t>Valuta</w:t>
            </w:r>
          </w:p>
        </w:tc>
        <w:tc>
          <w:tcPr>
            <w:tcW w:w="1260" w:type="dxa"/>
            <w:tcBorders>
              <w:top w:val="single" w:sz="4" w:space="0" w:color="000000"/>
              <w:left w:val="single" w:sz="4" w:space="0" w:color="000000"/>
              <w:bottom w:val="single" w:sz="4" w:space="0" w:color="000000"/>
            </w:tcBorders>
          </w:tcPr>
          <w:p>
            <w:pPr>
              <w:pStyle w:val="Sadrajitablice"/>
              <w:jc w:val="center"/>
              <w:rPr/>
            </w:pPr>
            <w:r>
              <w:rPr>
                <w:rFonts w:ascii="Times New Roman" w:hAnsi="Times New Roman"/>
                <w:b/>
                <w:bCs/>
                <w:sz w:val="24"/>
                <w:szCs w:val="24"/>
              </w:rPr>
              <w:t>2026</w:t>
            </w:r>
          </w:p>
        </w:tc>
        <w:tc>
          <w:tcPr>
            <w:tcW w:w="1185" w:type="dxa"/>
            <w:tcBorders>
              <w:top w:val="single" w:sz="4" w:space="0" w:color="000000"/>
              <w:left w:val="single" w:sz="4" w:space="0" w:color="000000"/>
              <w:bottom w:val="single" w:sz="4" w:space="0" w:color="000000"/>
            </w:tcBorders>
          </w:tcPr>
          <w:p>
            <w:pPr>
              <w:pStyle w:val="Sadrajitablice"/>
              <w:jc w:val="center"/>
              <w:rPr>
                <w:rFonts w:ascii="Times New Roman" w:hAnsi="Times New Roman"/>
                <w:b/>
                <w:bCs/>
                <w:sz w:val="24"/>
                <w:szCs w:val="24"/>
              </w:rPr>
            </w:pPr>
            <w:r>
              <w:rPr>
                <w:rFonts w:ascii="Times New Roman" w:hAnsi="Times New Roman"/>
                <w:b/>
                <w:bCs/>
                <w:sz w:val="24"/>
                <w:szCs w:val="24"/>
              </w:rPr>
              <w:t>2027</w:t>
            </w:r>
          </w:p>
        </w:tc>
        <w:tc>
          <w:tcPr>
            <w:tcW w:w="1245" w:type="dxa"/>
            <w:tcBorders>
              <w:top w:val="single" w:sz="4" w:space="0" w:color="000000"/>
              <w:left w:val="single" w:sz="4" w:space="0" w:color="000000"/>
              <w:bottom w:val="single" w:sz="4" w:space="0" w:color="000000"/>
            </w:tcBorders>
          </w:tcPr>
          <w:p>
            <w:pPr>
              <w:pStyle w:val="Sadrajitablice"/>
              <w:jc w:val="center"/>
              <w:rPr>
                <w:rFonts w:ascii="Times New Roman" w:hAnsi="Times New Roman"/>
                <w:b/>
                <w:bCs/>
                <w:sz w:val="24"/>
                <w:szCs w:val="24"/>
              </w:rPr>
            </w:pPr>
            <w:r>
              <w:rPr>
                <w:rFonts w:ascii="Times New Roman" w:hAnsi="Times New Roman"/>
                <w:b/>
                <w:bCs/>
                <w:sz w:val="24"/>
                <w:szCs w:val="24"/>
              </w:rPr>
              <w:t>2028</w:t>
            </w:r>
          </w:p>
        </w:tc>
        <w:tc>
          <w:tcPr>
            <w:tcW w:w="1463" w:type="dxa"/>
            <w:tcBorders>
              <w:top w:val="single" w:sz="4" w:space="0" w:color="000000"/>
              <w:left w:val="single" w:sz="4" w:space="0" w:color="000000"/>
              <w:bottom w:val="single" w:sz="4" w:space="0" w:color="000000"/>
              <w:right w:val="single" w:sz="4" w:space="0" w:color="000000"/>
            </w:tcBorders>
          </w:tcPr>
          <w:p>
            <w:pPr>
              <w:pStyle w:val="Sadrajitablice"/>
              <w:jc w:val="center"/>
              <w:rPr>
                <w:rFonts w:ascii="Times New Roman" w:hAnsi="Times New Roman"/>
                <w:b/>
                <w:bCs/>
                <w:sz w:val="24"/>
                <w:szCs w:val="24"/>
              </w:rPr>
            </w:pPr>
            <w:r>
              <w:rPr>
                <w:rFonts w:ascii="Times New Roman" w:hAnsi="Times New Roman"/>
                <w:b/>
                <w:bCs/>
                <w:sz w:val="24"/>
                <w:szCs w:val="24"/>
              </w:rPr>
              <w:t>Ukupno</w:t>
            </w:r>
          </w:p>
        </w:tc>
      </w:tr>
      <w:tr>
        <w:trPr/>
        <w:tc>
          <w:tcPr>
            <w:tcW w:w="3060" w:type="dxa"/>
            <w:tcBorders>
              <w:left w:val="single" w:sz="4" w:space="0" w:color="000000"/>
              <w:bottom w:val="single" w:sz="4" w:space="0" w:color="000000"/>
            </w:tcBorders>
          </w:tcPr>
          <w:p>
            <w:pPr>
              <w:pStyle w:val="Normal"/>
              <w:bidi w:val="0"/>
              <w:jc w:val="left"/>
              <w:rPr>
                <w:rFonts w:ascii="Times New Roman" w:hAnsi="Times New Roman"/>
                <w:sz w:val="24"/>
                <w:szCs w:val="24"/>
              </w:rPr>
            </w:pPr>
            <w:r>
              <w:rPr>
                <w:rFonts w:ascii="Times New Roman" w:hAnsi="Times New Roman"/>
                <w:sz w:val="24"/>
                <w:szCs w:val="24"/>
              </w:rPr>
              <w:t>Troškovi Stožera</w:t>
            </w:r>
          </w:p>
        </w:tc>
        <w:tc>
          <w:tcPr>
            <w:tcW w:w="960" w:type="dxa"/>
            <w:tcBorders>
              <w:left w:val="single" w:sz="4" w:space="0" w:color="000000"/>
              <w:bottom w:val="single" w:sz="4" w:space="0" w:color="000000"/>
            </w:tcBorders>
          </w:tcPr>
          <w:p>
            <w:pPr>
              <w:pStyle w:val="Sadrajitablice"/>
              <w:jc w:val="center"/>
              <w:rPr>
                <w:rFonts w:ascii="Times New Roman" w:hAnsi="Times New Roman"/>
                <w:sz w:val="24"/>
                <w:szCs w:val="24"/>
              </w:rPr>
            </w:pPr>
            <w:r>
              <w:rPr>
                <w:rFonts w:ascii="Times New Roman" w:hAnsi="Times New Roman"/>
                <w:sz w:val="24"/>
                <w:szCs w:val="24"/>
              </w:rPr>
              <w:t>EUR</w:t>
            </w:r>
          </w:p>
        </w:tc>
        <w:tc>
          <w:tcPr>
            <w:tcW w:w="1260" w:type="dxa"/>
            <w:tcBorders>
              <w:left w:val="single" w:sz="4" w:space="0" w:color="000000"/>
              <w:bottom w:val="single" w:sz="4" w:space="0" w:color="000000"/>
            </w:tcBorders>
          </w:tcPr>
          <w:p>
            <w:pPr>
              <w:pStyle w:val="Sadrajitablice"/>
              <w:jc w:val="center"/>
              <w:rPr>
                <w:rFonts w:ascii="Times New Roman" w:hAnsi="Times New Roman"/>
                <w:sz w:val="24"/>
                <w:szCs w:val="24"/>
              </w:rPr>
            </w:pPr>
            <w:r>
              <w:rPr>
                <w:rFonts w:ascii="Times New Roman" w:hAnsi="Times New Roman"/>
                <w:sz w:val="24"/>
                <w:szCs w:val="24"/>
              </w:rPr>
              <w:t>70,00</w:t>
            </w:r>
          </w:p>
        </w:tc>
        <w:tc>
          <w:tcPr>
            <w:tcW w:w="1185" w:type="dxa"/>
            <w:tcBorders>
              <w:left w:val="single" w:sz="4" w:space="0" w:color="000000"/>
              <w:bottom w:val="single" w:sz="4" w:space="0" w:color="000000"/>
            </w:tcBorders>
          </w:tcPr>
          <w:p>
            <w:pPr>
              <w:pStyle w:val="Sadrajitablice"/>
              <w:jc w:val="center"/>
              <w:rPr>
                <w:rFonts w:ascii="Times New Roman" w:hAnsi="Times New Roman"/>
                <w:sz w:val="24"/>
                <w:szCs w:val="24"/>
              </w:rPr>
            </w:pPr>
            <w:r>
              <w:rPr>
                <w:rFonts w:ascii="Times New Roman" w:hAnsi="Times New Roman"/>
                <w:sz w:val="24"/>
                <w:szCs w:val="24"/>
              </w:rPr>
              <w:t>70,00</w:t>
            </w:r>
          </w:p>
        </w:tc>
        <w:tc>
          <w:tcPr>
            <w:tcW w:w="1245" w:type="dxa"/>
            <w:tcBorders>
              <w:left w:val="single" w:sz="4" w:space="0" w:color="000000"/>
              <w:bottom w:val="single" w:sz="4" w:space="0" w:color="000000"/>
            </w:tcBorders>
          </w:tcPr>
          <w:p>
            <w:pPr>
              <w:pStyle w:val="Sadrajitablice"/>
              <w:jc w:val="center"/>
              <w:rPr>
                <w:rFonts w:ascii="Times New Roman" w:hAnsi="Times New Roman"/>
                <w:sz w:val="24"/>
                <w:szCs w:val="24"/>
              </w:rPr>
            </w:pPr>
            <w:r>
              <w:rPr>
                <w:rFonts w:ascii="Times New Roman" w:hAnsi="Times New Roman"/>
                <w:sz w:val="24"/>
                <w:szCs w:val="24"/>
              </w:rPr>
              <w:t>70,00</w:t>
            </w:r>
          </w:p>
        </w:tc>
        <w:tc>
          <w:tcPr>
            <w:tcW w:w="1463" w:type="dxa"/>
            <w:tcBorders>
              <w:left w:val="single" w:sz="4" w:space="0" w:color="000000"/>
              <w:bottom w:val="single" w:sz="4" w:space="0" w:color="000000"/>
              <w:right w:val="single" w:sz="4" w:space="0" w:color="000000"/>
            </w:tcBorders>
          </w:tcPr>
          <w:p>
            <w:pPr>
              <w:pStyle w:val="Sadrajitablice"/>
              <w:jc w:val="center"/>
              <w:rPr>
                <w:rFonts w:ascii="Times New Roman" w:hAnsi="Times New Roman"/>
                <w:sz w:val="24"/>
                <w:szCs w:val="24"/>
              </w:rPr>
            </w:pPr>
            <w:r>
              <w:rPr>
                <w:rFonts w:ascii="Times New Roman" w:hAnsi="Times New Roman"/>
                <w:sz w:val="24"/>
                <w:szCs w:val="24"/>
              </w:rPr>
              <w:t>210,00</w:t>
            </w:r>
          </w:p>
        </w:tc>
      </w:tr>
      <w:tr>
        <w:trPr/>
        <w:tc>
          <w:tcPr>
            <w:tcW w:w="3060" w:type="dxa"/>
            <w:tcBorders>
              <w:left w:val="single" w:sz="4" w:space="0" w:color="000000"/>
              <w:bottom w:val="single" w:sz="4" w:space="0" w:color="000000"/>
            </w:tcBorders>
          </w:tcPr>
          <w:p>
            <w:pPr>
              <w:pStyle w:val="Sadrajitablice"/>
              <w:jc w:val="left"/>
              <w:rPr>
                <w:rFonts w:ascii="Times New Roman" w:hAnsi="Times New Roman"/>
                <w:sz w:val="24"/>
                <w:szCs w:val="24"/>
              </w:rPr>
            </w:pPr>
            <w:r>
              <w:rPr>
                <w:rFonts w:ascii="Times New Roman" w:hAnsi="Times New Roman"/>
                <w:sz w:val="24"/>
                <w:szCs w:val="24"/>
              </w:rPr>
              <w:t>Liječničke potvrde o općoj</w:t>
            </w:r>
          </w:p>
          <w:p>
            <w:pPr>
              <w:pStyle w:val="Sadrajitablice"/>
              <w:jc w:val="left"/>
              <w:rPr>
                <w:rFonts w:ascii="Times New Roman" w:hAnsi="Times New Roman"/>
                <w:sz w:val="24"/>
                <w:szCs w:val="24"/>
              </w:rPr>
            </w:pPr>
            <w:r>
              <w:rPr>
                <w:rFonts w:ascii="Times New Roman" w:hAnsi="Times New Roman"/>
                <w:sz w:val="24"/>
                <w:szCs w:val="24"/>
              </w:rPr>
              <w:t>zdravstvenoj sposobnosti pripadnika postrojbe i povjerenika</w:t>
            </w:r>
          </w:p>
        </w:tc>
        <w:tc>
          <w:tcPr>
            <w:tcW w:w="960" w:type="dxa"/>
            <w:tcBorders>
              <w:left w:val="single" w:sz="4" w:space="0" w:color="000000"/>
              <w:bottom w:val="single" w:sz="4" w:space="0" w:color="000000"/>
            </w:tcBorders>
          </w:tcPr>
          <w:p>
            <w:pPr>
              <w:pStyle w:val="Sadrajitablice"/>
              <w:jc w:val="center"/>
              <w:rPr>
                <w:rFonts w:ascii="Times New Roman" w:hAnsi="Times New Roman"/>
                <w:sz w:val="24"/>
                <w:szCs w:val="24"/>
              </w:rPr>
            </w:pPr>
            <w:r>
              <w:rPr>
                <w:rFonts w:ascii="Times New Roman" w:hAnsi="Times New Roman"/>
                <w:sz w:val="24"/>
                <w:szCs w:val="24"/>
              </w:rPr>
              <w:t>EUR</w:t>
            </w:r>
          </w:p>
        </w:tc>
        <w:tc>
          <w:tcPr>
            <w:tcW w:w="1260" w:type="dxa"/>
            <w:tcBorders>
              <w:left w:val="single" w:sz="4" w:space="0" w:color="000000"/>
              <w:bottom w:val="single" w:sz="4" w:space="0" w:color="000000"/>
            </w:tcBorders>
          </w:tcPr>
          <w:p>
            <w:pPr>
              <w:pStyle w:val="Sadrajitablice"/>
              <w:jc w:val="center"/>
              <w:rPr>
                <w:rFonts w:ascii="Times New Roman" w:hAnsi="Times New Roman"/>
                <w:sz w:val="24"/>
                <w:szCs w:val="24"/>
              </w:rPr>
            </w:pPr>
            <w:r>
              <w:rPr>
                <w:rFonts w:ascii="Times New Roman" w:hAnsi="Times New Roman"/>
                <w:sz w:val="24"/>
                <w:szCs w:val="24"/>
              </w:rPr>
              <w:t>400,00</w:t>
            </w:r>
          </w:p>
        </w:tc>
        <w:tc>
          <w:tcPr>
            <w:tcW w:w="1185" w:type="dxa"/>
            <w:tcBorders>
              <w:left w:val="single" w:sz="4" w:space="0" w:color="000000"/>
              <w:bottom w:val="single" w:sz="4" w:space="0" w:color="000000"/>
            </w:tcBorders>
          </w:tcPr>
          <w:p>
            <w:pPr>
              <w:pStyle w:val="Sadrajitablice"/>
              <w:jc w:val="center"/>
              <w:rPr>
                <w:rFonts w:ascii="Times New Roman" w:hAnsi="Times New Roman"/>
                <w:sz w:val="24"/>
                <w:szCs w:val="24"/>
              </w:rPr>
            </w:pPr>
            <w:r>
              <w:rPr>
                <w:rFonts w:ascii="Times New Roman" w:hAnsi="Times New Roman"/>
                <w:sz w:val="24"/>
                <w:szCs w:val="24"/>
              </w:rPr>
              <w:t>400,00</w:t>
            </w:r>
          </w:p>
        </w:tc>
        <w:tc>
          <w:tcPr>
            <w:tcW w:w="1245" w:type="dxa"/>
            <w:tcBorders>
              <w:left w:val="single" w:sz="4" w:space="0" w:color="000000"/>
              <w:bottom w:val="single" w:sz="4" w:space="0" w:color="000000"/>
            </w:tcBorders>
          </w:tcPr>
          <w:p>
            <w:pPr>
              <w:pStyle w:val="Sadrajitablice"/>
              <w:jc w:val="center"/>
              <w:rPr>
                <w:rFonts w:ascii="Times New Roman" w:hAnsi="Times New Roman"/>
                <w:sz w:val="24"/>
                <w:szCs w:val="24"/>
              </w:rPr>
            </w:pPr>
            <w:r>
              <w:rPr>
                <w:rFonts w:ascii="Times New Roman" w:hAnsi="Times New Roman"/>
                <w:sz w:val="24"/>
                <w:szCs w:val="24"/>
              </w:rPr>
              <w:t>400,00</w:t>
            </w:r>
          </w:p>
        </w:tc>
        <w:tc>
          <w:tcPr>
            <w:tcW w:w="1463" w:type="dxa"/>
            <w:tcBorders>
              <w:left w:val="single" w:sz="4" w:space="0" w:color="000000"/>
              <w:bottom w:val="single" w:sz="4" w:space="0" w:color="000000"/>
              <w:right w:val="single" w:sz="4" w:space="0" w:color="000000"/>
            </w:tcBorders>
          </w:tcPr>
          <w:p>
            <w:pPr>
              <w:pStyle w:val="Sadrajitablice"/>
              <w:jc w:val="center"/>
              <w:rPr>
                <w:rFonts w:ascii="Times New Roman" w:hAnsi="Times New Roman"/>
                <w:sz w:val="24"/>
                <w:szCs w:val="24"/>
              </w:rPr>
            </w:pPr>
            <w:r>
              <w:rPr>
                <w:rFonts w:ascii="Times New Roman" w:hAnsi="Times New Roman"/>
                <w:sz w:val="24"/>
                <w:szCs w:val="24"/>
              </w:rPr>
              <w:t>1.200,00</w:t>
            </w:r>
          </w:p>
        </w:tc>
      </w:tr>
      <w:tr>
        <w:trPr/>
        <w:tc>
          <w:tcPr>
            <w:tcW w:w="3060" w:type="dxa"/>
            <w:tcBorders>
              <w:left w:val="single" w:sz="4" w:space="0" w:color="000000"/>
              <w:bottom w:val="single" w:sz="4" w:space="0" w:color="000000"/>
            </w:tcBorders>
          </w:tcPr>
          <w:p>
            <w:pPr>
              <w:pStyle w:val="Sadrajitablice"/>
              <w:jc w:val="left"/>
              <w:rPr>
                <w:rFonts w:ascii="Times New Roman" w:hAnsi="Times New Roman"/>
                <w:sz w:val="24"/>
                <w:szCs w:val="24"/>
              </w:rPr>
            </w:pPr>
            <w:r>
              <w:rPr>
                <w:rFonts w:ascii="Times New Roman" w:hAnsi="Times New Roman"/>
                <w:sz w:val="24"/>
                <w:szCs w:val="24"/>
              </w:rPr>
              <w:t>Vježbe postrojbe</w:t>
            </w:r>
          </w:p>
        </w:tc>
        <w:tc>
          <w:tcPr>
            <w:tcW w:w="960" w:type="dxa"/>
            <w:tcBorders>
              <w:left w:val="single" w:sz="4" w:space="0" w:color="000000"/>
              <w:bottom w:val="single" w:sz="4" w:space="0" w:color="000000"/>
            </w:tcBorders>
          </w:tcPr>
          <w:p>
            <w:pPr>
              <w:pStyle w:val="Sadrajitablice"/>
              <w:jc w:val="center"/>
              <w:rPr>
                <w:rFonts w:ascii="Times New Roman" w:hAnsi="Times New Roman"/>
                <w:sz w:val="24"/>
                <w:szCs w:val="24"/>
              </w:rPr>
            </w:pPr>
            <w:r>
              <w:rPr>
                <w:rFonts w:ascii="Times New Roman" w:hAnsi="Times New Roman"/>
                <w:sz w:val="24"/>
                <w:szCs w:val="24"/>
              </w:rPr>
              <w:t>EUR</w:t>
            </w:r>
          </w:p>
        </w:tc>
        <w:tc>
          <w:tcPr>
            <w:tcW w:w="1260" w:type="dxa"/>
            <w:tcBorders>
              <w:left w:val="single" w:sz="4" w:space="0" w:color="000000"/>
              <w:bottom w:val="single" w:sz="4" w:space="0" w:color="000000"/>
            </w:tcBorders>
          </w:tcPr>
          <w:p>
            <w:pPr>
              <w:pStyle w:val="Sadrajitablice"/>
              <w:jc w:val="center"/>
              <w:rPr>
                <w:rFonts w:ascii="Times New Roman" w:hAnsi="Times New Roman"/>
                <w:sz w:val="24"/>
                <w:szCs w:val="24"/>
              </w:rPr>
            </w:pPr>
            <w:r>
              <w:rPr>
                <w:rFonts w:ascii="Times New Roman" w:hAnsi="Times New Roman"/>
                <w:sz w:val="24"/>
                <w:szCs w:val="24"/>
              </w:rPr>
              <w:t>135,00</w:t>
            </w:r>
          </w:p>
        </w:tc>
        <w:tc>
          <w:tcPr>
            <w:tcW w:w="1185" w:type="dxa"/>
            <w:tcBorders>
              <w:left w:val="single" w:sz="4" w:space="0" w:color="000000"/>
              <w:bottom w:val="single" w:sz="4" w:space="0" w:color="000000"/>
            </w:tcBorders>
          </w:tcPr>
          <w:p>
            <w:pPr>
              <w:pStyle w:val="Sadrajitablice"/>
              <w:jc w:val="center"/>
              <w:rPr>
                <w:rFonts w:ascii="Times New Roman" w:hAnsi="Times New Roman"/>
                <w:sz w:val="24"/>
                <w:szCs w:val="24"/>
              </w:rPr>
            </w:pPr>
            <w:r>
              <w:rPr>
                <w:rFonts w:ascii="Times New Roman" w:hAnsi="Times New Roman"/>
                <w:sz w:val="24"/>
                <w:szCs w:val="24"/>
              </w:rPr>
              <w:t>135,00</w:t>
            </w:r>
          </w:p>
        </w:tc>
        <w:tc>
          <w:tcPr>
            <w:tcW w:w="1245" w:type="dxa"/>
            <w:tcBorders>
              <w:left w:val="single" w:sz="4" w:space="0" w:color="000000"/>
              <w:bottom w:val="single" w:sz="4" w:space="0" w:color="000000"/>
            </w:tcBorders>
          </w:tcPr>
          <w:p>
            <w:pPr>
              <w:pStyle w:val="Sadrajitablice"/>
              <w:jc w:val="center"/>
              <w:rPr>
                <w:rFonts w:ascii="Times New Roman" w:hAnsi="Times New Roman"/>
                <w:sz w:val="24"/>
                <w:szCs w:val="24"/>
              </w:rPr>
            </w:pPr>
            <w:r>
              <w:rPr>
                <w:rFonts w:ascii="Times New Roman" w:hAnsi="Times New Roman"/>
                <w:sz w:val="24"/>
                <w:szCs w:val="24"/>
              </w:rPr>
              <w:t>135,00</w:t>
            </w:r>
          </w:p>
        </w:tc>
        <w:tc>
          <w:tcPr>
            <w:tcW w:w="1463" w:type="dxa"/>
            <w:tcBorders>
              <w:left w:val="single" w:sz="4" w:space="0" w:color="000000"/>
              <w:bottom w:val="single" w:sz="4" w:space="0" w:color="000000"/>
              <w:right w:val="single" w:sz="4" w:space="0" w:color="000000"/>
            </w:tcBorders>
          </w:tcPr>
          <w:p>
            <w:pPr>
              <w:pStyle w:val="Sadrajitablice"/>
              <w:jc w:val="center"/>
              <w:rPr>
                <w:rFonts w:ascii="Times New Roman" w:hAnsi="Times New Roman"/>
                <w:sz w:val="24"/>
                <w:szCs w:val="24"/>
              </w:rPr>
            </w:pPr>
            <w:r>
              <w:rPr>
                <w:rFonts w:ascii="Times New Roman" w:hAnsi="Times New Roman"/>
                <w:sz w:val="24"/>
                <w:szCs w:val="24"/>
              </w:rPr>
              <w:t>405,00</w:t>
            </w:r>
          </w:p>
        </w:tc>
      </w:tr>
      <w:tr>
        <w:trPr>
          <w:trHeight w:val="318" w:hRule="atLeast"/>
        </w:trPr>
        <w:tc>
          <w:tcPr>
            <w:tcW w:w="3060" w:type="dxa"/>
            <w:tcBorders>
              <w:left w:val="single" w:sz="4" w:space="0" w:color="000000"/>
              <w:bottom w:val="single" w:sz="4" w:space="0" w:color="000000"/>
            </w:tcBorders>
          </w:tcPr>
          <w:p>
            <w:pPr>
              <w:pStyle w:val="Sadrajitablice"/>
              <w:jc w:val="left"/>
              <w:rPr>
                <w:rFonts w:ascii="Times New Roman" w:hAnsi="Times New Roman"/>
                <w:sz w:val="24"/>
                <w:szCs w:val="24"/>
              </w:rPr>
            </w:pPr>
            <w:r>
              <w:rPr>
                <w:rFonts w:ascii="Times New Roman" w:hAnsi="Times New Roman"/>
                <w:sz w:val="24"/>
                <w:szCs w:val="24"/>
              </w:rPr>
              <w:t>Opremanje postrojbe</w:t>
            </w:r>
          </w:p>
        </w:tc>
        <w:tc>
          <w:tcPr>
            <w:tcW w:w="960" w:type="dxa"/>
            <w:tcBorders>
              <w:left w:val="single" w:sz="4" w:space="0" w:color="000000"/>
              <w:bottom w:val="single" w:sz="4" w:space="0" w:color="000000"/>
            </w:tcBorders>
          </w:tcPr>
          <w:p>
            <w:pPr>
              <w:pStyle w:val="Sadrajitablice"/>
              <w:jc w:val="center"/>
              <w:rPr>
                <w:rFonts w:ascii="Times New Roman" w:hAnsi="Times New Roman"/>
                <w:sz w:val="24"/>
                <w:szCs w:val="24"/>
              </w:rPr>
            </w:pPr>
            <w:r>
              <w:rPr>
                <w:rFonts w:ascii="Times New Roman" w:hAnsi="Times New Roman"/>
                <w:sz w:val="24"/>
                <w:szCs w:val="24"/>
              </w:rPr>
              <w:t>EUR</w:t>
            </w:r>
          </w:p>
        </w:tc>
        <w:tc>
          <w:tcPr>
            <w:tcW w:w="1260" w:type="dxa"/>
            <w:tcBorders>
              <w:left w:val="single" w:sz="4" w:space="0" w:color="000000"/>
              <w:bottom w:val="single" w:sz="4" w:space="0" w:color="000000"/>
            </w:tcBorders>
          </w:tcPr>
          <w:p>
            <w:pPr>
              <w:pStyle w:val="Sadrajitablice"/>
              <w:jc w:val="center"/>
              <w:rPr>
                <w:rFonts w:ascii="Times New Roman" w:hAnsi="Times New Roman"/>
                <w:sz w:val="24"/>
                <w:szCs w:val="24"/>
              </w:rPr>
            </w:pPr>
            <w:r>
              <w:rPr>
                <w:rFonts w:ascii="Times New Roman" w:hAnsi="Times New Roman"/>
                <w:sz w:val="24"/>
                <w:szCs w:val="24"/>
              </w:rPr>
              <w:t>144,00</w:t>
            </w:r>
          </w:p>
        </w:tc>
        <w:tc>
          <w:tcPr>
            <w:tcW w:w="1185" w:type="dxa"/>
            <w:tcBorders>
              <w:left w:val="single" w:sz="4" w:space="0" w:color="000000"/>
              <w:bottom w:val="single" w:sz="4" w:space="0" w:color="000000"/>
            </w:tcBorders>
          </w:tcPr>
          <w:p>
            <w:pPr>
              <w:pStyle w:val="Sadrajitablice"/>
              <w:jc w:val="center"/>
              <w:rPr>
                <w:rFonts w:ascii="Times New Roman" w:hAnsi="Times New Roman"/>
                <w:sz w:val="24"/>
                <w:szCs w:val="24"/>
              </w:rPr>
            </w:pPr>
            <w:r>
              <w:rPr>
                <w:rFonts w:ascii="Times New Roman" w:hAnsi="Times New Roman"/>
                <w:sz w:val="24"/>
                <w:szCs w:val="24"/>
              </w:rPr>
              <w:t>144,00</w:t>
            </w:r>
          </w:p>
        </w:tc>
        <w:tc>
          <w:tcPr>
            <w:tcW w:w="1245" w:type="dxa"/>
            <w:tcBorders>
              <w:left w:val="single" w:sz="4" w:space="0" w:color="000000"/>
              <w:bottom w:val="single" w:sz="4" w:space="0" w:color="000000"/>
            </w:tcBorders>
          </w:tcPr>
          <w:p>
            <w:pPr>
              <w:pStyle w:val="Sadrajitablice"/>
              <w:jc w:val="center"/>
              <w:rPr>
                <w:rFonts w:ascii="Times New Roman" w:hAnsi="Times New Roman"/>
                <w:sz w:val="24"/>
                <w:szCs w:val="24"/>
              </w:rPr>
            </w:pPr>
            <w:r>
              <w:rPr>
                <w:rFonts w:ascii="Times New Roman" w:hAnsi="Times New Roman"/>
                <w:sz w:val="24"/>
                <w:szCs w:val="24"/>
              </w:rPr>
              <w:t>144,00</w:t>
            </w:r>
          </w:p>
        </w:tc>
        <w:tc>
          <w:tcPr>
            <w:tcW w:w="1463" w:type="dxa"/>
            <w:tcBorders>
              <w:left w:val="single" w:sz="4" w:space="0" w:color="000000"/>
              <w:bottom w:val="single" w:sz="4" w:space="0" w:color="000000"/>
              <w:right w:val="single" w:sz="4" w:space="0" w:color="000000"/>
            </w:tcBorders>
          </w:tcPr>
          <w:p>
            <w:pPr>
              <w:pStyle w:val="Sadrajitablice"/>
              <w:jc w:val="center"/>
              <w:rPr>
                <w:rFonts w:ascii="Times New Roman" w:hAnsi="Times New Roman"/>
                <w:sz w:val="24"/>
                <w:szCs w:val="24"/>
              </w:rPr>
            </w:pPr>
            <w:r>
              <w:rPr>
                <w:rFonts w:ascii="Times New Roman" w:hAnsi="Times New Roman"/>
                <w:sz w:val="24"/>
                <w:szCs w:val="24"/>
              </w:rPr>
              <w:t>432,00</w:t>
            </w:r>
          </w:p>
        </w:tc>
      </w:tr>
      <w:tr>
        <w:trPr/>
        <w:tc>
          <w:tcPr>
            <w:tcW w:w="3060" w:type="dxa"/>
            <w:tcBorders>
              <w:left w:val="single" w:sz="4" w:space="0" w:color="000000"/>
              <w:bottom w:val="single" w:sz="4" w:space="0" w:color="000000"/>
            </w:tcBorders>
          </w:tcPr>
          <w:p>
            <w:pPr>
              <w:pStyle w:val="Sadrajitablice"/>
              <w:jc w:val="left"/>
              <w:rPr>
                <w:rFonts w:ascii="Times New Roman" w:hAnsi="Times New Roman"/>
                <w:sz w:val="24"/>
                <w:szCs w:val="24"/>
              </w:rPr>
            </w:pPr>
            <w:r>
              <w:rPr>
                <w:rFonts w:ascii="Times New Roman" w:hAnsi="Times New Roman"/>
                <w:sz w:val="24"/>
                <w:szCs w:val="24"/>
              </w:rPr>
              <w:t>Obvezno osiguranje pripadnika postrojbe i povjerenika</w:t>
            </w:r>
          </w:p>
        </w:tc>
        <w:tc>
          <w:tcPr>
            <w:tcW w:w="960" w:type="dxa"/>
            <w:tcBorders>
              <w:left w:val="single" w:sz="4" w:space="0" w:color="000000"/>
              <w:bottom w:val="single" w:sz="4" w:space="0" w:color="000000"/>
            </w:tcBorders>
          </w:tcPr>
          <w:p>
            <w:pPr>
              <w:pStyle w:val="Sadrajitablice"/>
              <w:jc w:val="center"/>
              <w:rPr>
                <w:rFonts w:ascii="Times New Roman" w:hAnsi="Times New Roman"/>
                <w:sz w:val="24"/>
                <w:szCs w:val="24"/>
              </w:rPr>
            </w:pPr>
            <w:r>
              <w:rPr>
                <w:rFonts w:ascii="Times New Roman" w:hAnsi="Times New Roman"/>
                <w:sz w:val="24"/>
                <w:szCs w:val="24"/>
              </w:rPr>
              <w:t>EUR</w:t>
            </w:r>
          </w:p>
        </w:tc>
        <w:tc>
          <w:tcPr>
            <w:tcW w:w="1260" w:type="dxa"/>
            <w:tcBorders>
              <w:left w:val="single" w:sz="4" w:space="0" w:color="000000"/>
              <w:bottom w:val="single" w:sz="4" w:space="0" w:color="000000"/>
            </w:tcBorders>
          </w:tcPr>
          <w:p>
            <w:pPr>
              <w:pStyle w:val="Sadrajitablice"/>
              <w:jc w:val="center"/>
              <w:rPr>
                <w:rFonts w:ascii="Times New Roman" w:hAnsi="Times New Roman"/>
                <w:sz w:val="24"/>
                <w:szCs w:val="24"/>
              </w:rPr>
            </w:pPr>
            <w:r>
              <w:rPr>
                <w:rFonts w:ascii="Times New Roman" w:hAnsi="Times New Roman"/>
                <w:sz w:val="24"/>
                <w:szCs w:val="24"/>
              </w:rPr>
              <w:t>130,00</w:t>
            </w:r>
          </w:p>
        </w:tc>
        <w:tc>
          <w:tcPr>
            <w:tcW w:w="1185" w:type="dxa"/>
            <w:tcBorders>
              <w:left w:val="single" w:sz="4" w:space="0" w:color="000000"/>
              <w:bottom w:val="single" w:sz="4" w:space="0" w:color="000000"/>
            </w:tcBorders>
          </w:tcPr>
          <w:p>
            <w:pPr>
              <w:pStyle w:val="Sadrajitablice"/>
              <w:jc w:val="center"/>
              <w:rPr>
                <w:rFonts w:ascii="Times New Roman" w:hAnsi="Times New Roman"/>
                <w:sz w:val="24"/>
                <w:szCs w:val="24"/>
              </w:rPr>
            </w:pPr>
            <w:r>
              <w:rPr>
                <w:rFonts w:ascii="Times New Roman" w:hAnsi="Times New Roman"/>
                <w:sz w:val="24"/>
                <w:szCs w:val="24"/>
              </w:rPr>
              <w:t>130,00</w:t>
            </w:r>
          </w:p>
        </w:tc>
        <w:tc>
          <w:tcPr>
            <w:tcW w:w="1245" w:type="dxa"/>
            <w:tcBorders>
              <w:left w:val="single" w:sz="4" w:space="0" w:color="000000"/>
              <w:bottom w:val="single" w:sz="4" w:space="0" w:color="000000"/>
            </w:tcBorders>
          </w:tcPr>
          <w:p>
            <w:pPr>
              <w:pStyle w:val="Sadrajitablice"/>
              <w:jc w:val="center"/>
              <w:rPr>
                <w:rFonts w:ascii="Times New Roman" w:hAnsi="Times New Roman"/>
                <w:sz w:val="24"/>
                <w:szCs w:val="24"/>
              </w:rPr>
            </w:pPr>
            <w:r>
              <w:rPr>
                <w:rFonts w:ascii="Times New Roman" w:hAnsi="Times New Roman"/>
                <w:sz w:val="24"/>
                <w:szCs w:val="24"/>
              </w:rPr>
              <w:t>130,00</w:t>
            </w:r>
          </w:p>
        </w:tc>
        <w:tc>
          <w:tcPr>
            <w:tcW w:w="1463" w:type="dxa"/>
            <w:tcBorders>
              <w:left w:val="single" w:sz="4" w:space="0" w:color="000000"/>
              <w:bottom w:val="single" w:sz="4" w:space="0" w:color="000000"/>
              <w:right w:val="single" w:sz="4" w:space="0" w:color="000000"/>
            </w:tcBorders>
          </w:tcPr>
          <w:p>
            <w:pPr>
              <w:pStyle w:val="Sadrajitablice"/>
              <w:jc w:val="center"/>
              <w:rPr>
                <w:rFonts w:ascii="Times New Roman" w:hAnsi="Times New Roman"/>
                <w:sz w:val="24"/>
                <w:szCs w:val="24"/>
              </w:rPr>
            </w:pPr>
            <w:r>
              <w:rPr>
                <w:rFonts w:ascii="Times New Roman" w:hAnsi="Times New Roman"/>
                <w:sz w:val="24"/>
                <w:szCs w:val="24"/>
              </w:rPr>
              <w:t>390,00</w:t>
            </w:r>
          </w:p>
        </w:tc>
      </w:tr>
      <w:tr>
        <w:trPr/>
        <w:tc>
          <w:tcPr>
            <w:tcW w:w="3060" w:type="dxa"/>
            <w:tcBorders>
              <w:left w:val="single" w:sz="4" w:space="0" w:color="000000"/>
              <w:bottom w:val="single" w:sz="4" w:space="0" w:color="000000"/>
            </w:tcBorders>
          </w:tcPr>
          <w:p>
            <w:pPr>
              <w:pStyle w:val="Sadrajitablice"/>
              <w:jc w:val="left"/>
              <w:rPr>
                <w:rFonts w:ascii="Times New Roman" w:hAnsi="Times New Roman"/>
                <w:sz w:val="24"/>
                <w:szCs w:val="24"/>
              </w:rPr>
            </w:pPr>
            <w:r>
              <w:rPr>
                <w:rFonts w:ascii="Times New Roman" w:hAnsi="Times New Roman"/>
                <w:sz w:val="24"/>
                <w:szCs w:val="24"/>
              </w:rPr>
              <w:t>Povlastice pripadnicima postrojbe i povjerenicima</w:t>
            </w:r>
          </w:p>
        </w:tc>
        <w:tc>
          <w:tcPr>
            <w:tcW w:w="960" w:type="dxa"/>
            <w:tcBorders>
              <w:left w:val="single" w:sz="4" w:space="0" w:color="000000"/>
              <w:bottom w:val="single" w:sz="4" w:space="0" w:color="000000"/>
            </w:tcBorders>
          </w:tcPr>
          <w:p>
            <w:pPr>
              <w:pStyle w:val="Sadrajitablice"/>
              <w:jc w:val="center"/>
              <w:rPr>
                <w:rFonts w:ascii="Times New Roman" w:hAnsi="Times New Roman"/>
                <w:sz w:val="24"/>
                <w:szCs w:val="24"/>
              </w:rPr>
            </w:pPr>
            <w:r>
              <w:rPr>
                <w:rFonts w:ascii="Times New Roman" w:hAnsi="Times New Roman"/>
                <w:sz w:val="24"/>
                <w:szCs w:val="24"/>
              </w:rPr>
              <w:t>EUR</w:t>
            </w:r>
          </w:p>
        </w:tc>
        <w:tc>
          <w:tcPr>
            <w:tcW w:w="1260" w:type="dxa"/>
            <w:tcBorders>
              <w:left w:val="single" w:sz="4" w:space="0" w:color="000000"/>
              <w:bottom w:val="single" w:sz="4" w:space="0" w:color="000000"/>
            </w:tcBorders>
          </w:tcPr>
          <w:p>
            <w:pPr>
              <w:pStyle w:val="Sadrajitablice"/>
              <w:jc w:val="center"/>
              <w:rPr>
                <w:rFonts w:ascii="Times New Roman" w:hAnsi="Times New Roman"/>
                <w:sz w:val="24"/>
                <w:szCs w:val="24"/>
              </w:rPr>
            </w:pPr>
            <w:r>
              <w:rPr>
                <w:rFonts w:ascii="Times New Roman" w:hAnsi="Times New Roman"/>
                <w:sz w:val="24"/>
                <w:szCs w:val="24"/>
              </w:rPr>
              <w:t>0,00</w:t>
            </w:r>
          </w:p>
        </w:tc>
        <w:tc>
          <w:tcPr>
            <w:tcW w:w="1185" w:type="dxa"/>
            <w:tcBorders>
              <w:left w:val="single" w:sz="4" w:space="0" w:color="000000"/>
              <w:bottom w:val="single" w:sz="4" w:space="0" w:color="000000"/>
            </w:tcBorders>
          </w:tcPr>
          <w:p>
            <w:pPr>
              <w:pStyle w:val="Sadrajitablice"/>
              <w:jc w:val="center"/>
              <w:rPr>
                <w:rFonts w:ascii="Times New Roman" w:hAnsi="Times New Roman"/>
                <w:sz w:val="24"/>
                <w:szCs w:val="24"/>
              </w:rPr>
            </w:pPr>
            <w:r>
              <w:rPr>
                <w:rFonts w:ascii="Times New Roman" w:hAnsi="Times New Roman"/>
                <w:sz w:val="24"/>
                <w:szCs w:val="24"/>
              </w:rPr>
              <w:t>0,00</w:t>
            </w:r>
          </w:p>
        </w:tc>
        <w:tc>
          <w:tcPr>
            <w:tcW w:w="1245" w:type="dxa"/>
            <w:tcBorders>
              <w:left w:val="single" w:sz="4" w:space="0" w:color="000000"/>
              <w:bottom w:val="single" w:sz="4" w:space="0" w:color="000000"/>
            </w:tcBorders>
          </w:tcPr>
          <w:p>
            <w:pPr>
              <w:pStyle w:val="Sadrajitablice"/>
              <w:jc w:val="center"/>
              <w:rPr>
                <w:rFonts w:ascii="Times New Roman" w:hAnsi="Times New Roman"/>
                <w:sz w:val="24"/>
                <w:szCs w:val="24"/>
              </w:rPr>
            </w:pPr>
            <w:r>
              <w:rPr>
                <w:rFonts w:ascii="Times New Roman" w:hAnsi="Times New Roman"/>
                <w:sz w:val="24"/>
                <w:szCs w:val="24"/>
              </w:rPr>
              <w:t>0,00</w:t>
            </w:r>
          </w:p>
        </w:tc>
        <w:tc>
          <w:tcPr>
            <w:tcW w:w="1463" w:type="dxa"/>
            <w:tcBorders>
              <w:left w:val="single" w:sz="4" w:space="0" w:color="000000"/>
              <w:bottom w:val="single" w:sz="4" w:space="0" w:color="000000"/>
              <w:right w:val="single" w:sz="4" w:space="0" w:color="000000"/>
            </w:tcBorders>
          </w:tcPr>
          <w:p>
            <w:pPr>
              <w:pStyle w:val="Sadrajitablice"/>
              <w:jc w:val="center"/>
              <w:rPr>
                <w:rFonts w:ascii="Times New Roman" w:hAnsi="Times New Roman"/>
                <w:sz w:val="24"/>
                <w:szCs w:val="24"/>
              </w:rPr>
            </w:pPr>
            <w:r>
              <w:rPr>
                <w:rFonts w:ascii="Times New Roman" w:hAnsi="Times New Roman"/>
                <w:sz w:val="24"/>
                <w:szCs w:val="24"/>
              </w:rPr>
              <w:t>0,00</w:t>
            </w:r>
          </w:p>
        </w:tc>
      </w:tr>
      <w:tr>
        <w:trPr/>
        <w:tc>
          <w:tcPr>
            <w:tcW w:w="3060" w:type="dxa"/>
            <w:tcBorders>
              <w:left w:val="single" w:sz="4" w:space="0" w:color="000000"/>
              <w:bottom w:val="single" w:sz="4" w:space="0" w:color="000000"/>
            </w:tcBorders>
          </w:tcPr>
          <w:p>
            <w:pPr>
              <w:pStyle w:val="Sadrajitablice"/>
              <w:jc w:val="left"/>
              <w:rPr>
                <w:rFonts w:ascii="Times New Roman" w:hAnsi="Times New Roman"/>
                <w:sz w:val="24"/>
                <w:szCs w:val="24"/>
              </w:rPr>
            </w:pPr>
            <w:r>
              <w:rPr>
                <w:rFonts w:ascii="Times New Roman" w:hAnsi="Times New Roman"/>
                <w:sz w:val="24"/>
                <w:szCs w:val="24"/>
              </w:rPr>
              <w:t>Vježbe – osposobljavanja povjerenika</w:t>
            </w:r>
          </w:p>
        </w:tc>
        <w:tc>
          <w:tcPr>
            <w:tcW w:w="960" w:type="dxa"/>
            <w:tcBorders>
              <w:left w:val="single" w:sz="4" w:space="0" w:color="000000"/>
              <w:bottom w:val="single" w:sz="4" w:space="0" w:color="000000"/>
            </w:tcBorders>
          </w:tcPr>
          <w:p>
            <w:pPr>
              <w:pStyle w:val="Sadrajitablice"/>
              <w:jc w:val="center"/>
              <w:rPr>
                <w:rFonts w:ascii="Times New Roman" w:hAnsi="Times New Roman"/>
                <w:sz w:val="24"/>
                <w:szCs w:val="24"/>
              </w:rPr>
            </w:pPr>
            <w:r>
              <w:rPr>
                <w:rFonts w:ascii="Times New Roman" w:hAnsi="Times New Roman"/>
                <w:sz w:val="24"/>
                <w:szCs w:val="24"/>
              </w:rPr>
              <w:t>EUR</w:t>
            </w:r>
          </w:p>
        </w:tc>
        <w:tc>
          <w:tcPr>
            <w:tcW w:w="1260" w:type="dxa"/>
            <w:tcBorders>
              <w:left w:val="single" w:sz="4" w:space="0" w:color="000000"/>
              <w:bottom w:val="single" w:sz="4" w:space="0" w:color="000000"/>
            </w:tcBorders>
          </w:tcPr>
          <w:p>
            <w:pPr>
              <w:pStyle w:val="Sadrajitablice"/>
              <w:jc w:val="center"/>
              <w:rPr>
                <w:rFonts w:ascii="Times New Roman" w:hAnsi="Times New Roman"/>
                <w:sz w:val="24"/>
                <w:szCs w:val="24"/>
              </w:rPr>
            </w:pPr>
            <w:r>
              <w:rPr>
                <w:rFonts w:ascii="Times New Roman" w:hAnsi="Times New Roman"/>
                <w:sz w:val="24"/>
                <w:szCs w:val="24"/>
              </w:rPr>
              <w:t>60,00</w:t>
            </w:r>
          </w:p>
        </w:tc>
        <w:tc>
          <w:tcPr>
            <w:tcW w:w="1185" w:type="dxa"/>
            <w:tcBorders>
              <w:left w:val="single" w:sz="4" w:space="0" w:color="000000"/>
              <w:bottom w:val="single" w:sz="4" w:space="0" w:color="000000"/>
            </w:tcBorders>
          </w:tcPr>
          <w:p>
            <w:pPr>
              <w:pStyle w:val="Sadrajitablice"/>
              <w:jc w:val="center"/>
              <w:rPr>
                <w:rFonts w:ascii="Times New Roman" w:hAnsi="Times New Roman"/>
                <w:sz w:val="24"/>
                <w:szCs w:val="24"/>
              </w:rPr>
            </w:pPr>
            <w:r>
              <w:rPr>
                <w:rFonts w:ascii="Times New Roman" w:hAnsi="Times New Roman"/>
                <w:sz w:val="24"/>
                <w:szCs w:val="24"/>
              </w:rPr>
              <w:t>60,00</w:t>
            </w:r>
          </w:p>
        </w:tc>
        <w:tc>
          <w:tcPr>
            <w:tcW w:w="1245" w:type="dxa"/>
            <w:tcBorders>
              <w:left w:val="single" w:sz="4" w:space="0" w:color="000000"/>
              <w:bottom w:val="single" w:sz="4" w:space="0" w:color="000000"/>
            </w:tcBorders>
          </w:tcPr>
          <w:p>
            <w:pPr>
              <w:pStyle w:val="Sadrajitablice"/>
              <w:jc w:val="center"/>
              <w:rPr>
                <w:rFonts w:ascii="Times New Roman" w:hAnsi="Times New Roman"/>
                <w:sz w:val="24"/>
                <w:szCs w:val="24"/>
              </w:rPr>
            </w:pPr>
            <w:r>
              <w:rPr>
                <w:rFonts w:ascii="Times New Roman" w:hAnsi="Times New Roman"/>
                <w:sz w:val="24"/>
                <w:szCs w:val="24"/>
              </w:rPr>
              <w:t>60,00</w:t>
            </w:r>
          </w:p>
        </w:tc>
        <w:tc>
          <w:tcPr>
            <w:tcW w:w="1463" w:type="dxa"/>
            <w:tcBorders>
              <w:left w:val="single" w:sz="4" w:space="0" w:color="000000"/>
              <w:bottom w:val="single" w:sz="4" w:space="0" w:color="000000"/>
              <w:right w:val="single" w:sz="4" w:space="0" w:color="000000"/>
            </w:tcBorders>
          </w:tcPr>
          <w:p>
            <w:pPr>
              <w:pStyle w:val="Sadrajitablice"/>
              <w:jc w:val="center"/>
              <w:rPr>
                <w:rFonts w:ascii="Times New Roman" w:hAnsi="Times New Roman"/>
                <w:sz w:val="24"/>
                <w:szCs w:val="24"/>
              </w:rPr>
            </w:pPr>
            <w:r>
              <w:rPr>
                <w:rFonts w:ascii="Times New Roman" w:hAnsi="Times New Roman"/>
                <w:sz w:val="24"/>
                <w:szCs w:val="24"/>
              </w:rPr>
              <w:t>180,00</w:t>
            </w:r>
          </w:p>
        </w:tc>
      </w:tr>
      <w:tr>
        <w:trPr/>
        <w:tc>
          <w:tcPr>
            <w:tcW w:w="3060" w:type="dxa"/>
            <w:tcBorders>
              <w:left w:val="single" w:sz="4" w:space="0" w:color="000000"/>
              <w:bottom w:val="single" w:sz="4" w:space="0" w:color="000000"/>
            </w:tcBorders>
          </w:tcPr>
          <w:p>
            <w:pPr>
              <w:pStyle w:val="Sadrajitablice"/>
              <w:jc w:val="left"/>
              <w:rPr>
                <w:rFonts w:ascii="Times New Roman" w:hAnsi="Times New Roman"/>
                <w:sz w:val="24"/>
                <w:szCs w:val="24"/>
              </w:rPr>
            </w:pPr>
            <w:r>
              <w:rPr>
                <w:rFonts w:ascii="Times New Roman" w:hAnsi="Times New Roman"/>
                <w:sz w:val="24"/>
                <w:szCs w:val="24"/>
              </w:rPr>
              <w:t>Opremanje sustave civilne zaštite</w:t>
            </w:r>
          </w:p>
        </w:tc>
        <w:tc>
          <w:tcPr>
            <w:tcW w:w="960" w:type="dxa"/>
            <w:tcBorders>
              <w:left w:val="single" w:sz="4" w:space="0" w:color="000000"/>
              <w:bottom w:val="single" w:sz="4" w:space="0" w:color="000000"/>
            </w:tcBorders>
          </w:tcPr>
          <w:p>
            <w:pPr>
              <w:pStyle w:val="Sadrajitablice"/>
              <w:jc w:val="center"/>
              <w:rPr>
                <w:rFonts w:ascii="Times New Roman" w:hAnsi="Times New Roman"/>
                <w:sz w:val="24"/>
                <w:szCs w:val="24"/>
              </w:rPr>
            </w:pPr>
            <w:r>
              <w:rPr>
                <w:rFonts w:ascii="Times New Roman" w:hAnsi="Times New Roman"/>
                <w:sz w:val="24"/>
                <w:szCs w:val="24"/>
              </w:rPr>
              <w:t>EUR</w:t>
            </w:r>
          </w:p>
        </w:tc>
        <w:tc>
          <w:tcPr>
            <w:tcW w:w="1260" w:type="dxa"/>
            <w:tcBorders>
              <w:left w:val="single" w:sz="4" w:space="0" w:color="000000"/>
              <w:bottom w:val="single" w:sz="4" w:space="0" w:color="000000"/>
            </w:tcBorders>
          </w:tcPr>
          <w:p>
            <w:pPr>
              <w:pStyle w:val="Sadrajitablice"/>
              <w:jc w:val="center"/>
              <w:rPr>
                <w:rFonts w:ascii="Times New Roman" w:hAnsi="Times New Roman"/>
                <w:sz w:val="24"/>
                <w:szCs w:val="24"/>
              </w:rPr>
            </w:pPr>
            <w:r>
              <w:rPr>
                <w:rFonts w:ascii="Times New Roman" w:hAnsi="Times New Roman"/>
                <w:sz w:val="24"/>
                <w:szCs w:val="24"/>
              </w:rPr>
              <w:t>1.061,00</w:t>
            </w:r>
          </w:p>
        </w:tc>
        <w:tc>
          <w:tcPr>
            <w:tcW w:w="1185" w:type="dxa"/>
            <w:tcBorders>
              <w:left w:val="single" w:sz="4" w:space="0" w:color="000000"/>
              <w:bottom w:val="single" w:sz="4" w:space="0" w:color="000000"/>
            </w:tcBorders>
          </w:tcPr>
          <w:p>
            <w:pPr>
              <w:pStyle w:val="Sadrajitablice"/>
              <w:jc w:val="center"/>
              <w:rPr>
                <w:rFonts w:ascii="Times New Roman" w:hAnsi="Times New Roman"/>
                <w:sz w:val="24"/>
                <w:szCs w:val="24"/>
              </w:rPr>
            </w:pPr>
            <w:r>
              <w:rPr>
                <w:rFonts w:ascii="Times New Roman" w:hAnsi="Times New Roman"/>
                <w:sz w:val="24"/>
                <w:szCs w:val="24"/>
              </w:rPr>
              <w:t>1.061,00</w:t>
            </w:r>
          </w:p>
        </w:tc>
        <w:tc>
          <w:tcPr>
            <w:tcW w:w="1245" w:type="dxa"/>
            <w:tcBorders>
              <w:left w:val="single" w:sz="4" w:space="0" w:color="000000"/>
              <w:bottom w:val="single" w:sz="4" w:space="0" w:color="000000"/>
            </w:tcBorders>
          </w:tcPr>
          <w:p>
            <w:pPr>
              <w:pStyle w:val="Sadrajitablice"/>
              <w:jc w:val="center"/>
              <w:rPr>
                <w:rFonts w:ascii="Times New Roman" w:hAnsi="Times New Roman"/>
                <w:sz w:val="24"/>
                <w:szCs w:val="24"/>
              </w:rPr>
            </w:pPr>
            <w:r>
              <w:rPr>
                <w:rFonts w:ascii="Times New Roman" w:hAnsi="Times New Roman"/>
                <w:sz w:val="24"/>
                <w:szCs w:val="24"/>
              </w:rPr>
              <w:t>1.061,00</w:t>
            </w:r>
          </w:p>
        </w:tc>
        <w:tc>
          <w:tcPr>
            <w:tcW w:w="1463" w:type="dxa"/>
            <w:tcBorders>
              <w:left w:val="single" w:sz="4" w:space="0" w:color="000000"/>
              <w:bottom w:val="single" w:sz="4" w:space="0" w:color="000000"/>
              <w:right w:val="single" w:sz="4" w:space="0" w:color="000000"/>
            </w:tcBorders>
          </w:tcPr>
          <w:p>
            <w:pPr>
              <w:pStyle w:val="Sadrajitablice"/>
              <w:jc w:val="center"/>
              <w:rPr>
                <w:rFonts w:ascii="Times New Roman" w:hAnsi="Times New Roman"/>
                <w:sz w:val="24"/>
                <w:szCs w:val="24"/>
              </w:rPr>
            </w:pPr>
            <w:r>
              <w:rPr>
                <w:rFonts w:ascii="Times New Roman" w:hAnsi="Times New Roman"/>
                <w:sz w:val="24"/>
                <w:szCs w:val="24"/>
              </w:rPr>
              <w:t>3.183,00</w:t>
            </w:r>
          </w:p>
        </w:tc>
      </w:tr>
      <w:tr>
        <w:trPr>
          <w:trHeight w:val="348" w:hRule="atLeast"/>
        </w:trPr>
        <w:tc>
          <w:tcPr>
            <w:tcW w:w="3060" w:type="dxa"/>
            <w:tcBorders>
              <w:left w:val="single" w:sz="4" w:space="0" w:color="000000"/>
              <w:bottom w:val="single" w:sz="4" w:space="0" w:color="000000"/>
            </w:tcBorders>
          </w:tcPr>
          <w:p>
            <w:pPr>
              <w:pStyle w:val="Sadrajitablice"/>
              <w:rPr>
                <w:rFonts w:ascii="Times New Roman" w:hAnsi="Times New Roman"/>
                <w:b/>
                <w:bCs/>
                <w:sz w:val="24"/>
                <w:szCs w:val="24"/>
              </w:rPr>
            </w:pPr>
            <w:r>
              <w:rPr>
                <w:rFonts w:ascii="Times New Roman" w:hAnsi="Times New Roman"/>
                <w:b/>
                <w:bCs/>
                <w:sz w:val="24"/>
                <w:szCs w:val="24"/>
              </w:rPr>
              <w:t>Ukupno</w:t>
            </w:r>
          </w:p>
        </w:tc>
        <w:tc>
          <w:tcPr>
            <w:tcW w:w="960" w:type="dxa"/>
            <w:tcBorders>
              <w:left w:val="single" w:sz="4" w:space="0" w:color="000000"/>
              <w:bottom w:val="single" w:sz="4" w:space="0" w:color="000000"/>
            </w:tcBorders>
          </w:tcPr>
          <w:p>
            <w:pPr>
              <w:pStyle w:val="Sadrajitablice"/>
              <w:jc w:val="center"/>
              <w:rPr>
                <w:rFonts w:ascii="Times New Roman" w:hAnsi="Times New Roman"/>
                <w:sz w:val="24"/>
                <w:szCs w:val="24"/>
              </w:rPr>
            </w:pPr>
            <w:r>
              <w:rPr>
                <w:rFonts w:ascii="Times New Roman" w:hAnsi="Times New Roman"/>
                <w:sz w:val="24"/>
                <w:szCs w:val="24"/>
              </w:rPr>
              <w:t>EUR</w:t>
            </w:r>
          </w:p>
        </w:tc>
        <w:tc>
          <w:tcPr>
            <w:tcW w:w="1260" w:type="dxa"/>
            <w:tcBorders>
              <w:left w:val="single" w:sz="4" w:space="0" w:color="000000"/>
              <w:bottom w:val="single" w:sz="4" w:space="0" w:color="000000"/>
            </w:tcBorders>
          </w:tcPr>
          <w:p>
            <w:pPr>
              <w:pStyle w:val="Sadrajitablice"/>
              <w:jc w:val="center"/>
              <w:rPr>
                <w:rFonts w:ascii="Times New Roman" w:hAnsi="Times New Roman"/>
                <w:sz w:val="24"/>
                <w:szCs w:val="24"/>
              </w:rPr>
            </w:pPr>
            <w:r>
              <w:rPr>
                <w:rFonts w:ascii="Times New Roman" w:hAnsi="Times New Roman"/>
                <w:sz w:val="24"/>
                <w:szCs w:val="24"/>
              </w:rPr>
              <w:t>2.000,00</w:t>
            </w:r>
          </w:p>
        </w:tc>
        <w:tc>
          <w:tcPr>
            <w:tcW w:w="1185" w:type="dxa"/>
            <w:tcBorders>
              <w:left w:val="single" w:sz="4" w:space="0" w:color="000000"/>
              <w:bottom w:val="single" w:sz="4" w:space="0" w:color="000000"/>
            </w:tcBorders>
          </w:tcPr>
          <w:p>
            <w:pPr>
              <w:pStyle w:val="Sadrajitablice"/>
              <w:jc w:val="center"/>
              <w:rPr>
                <w:rFonts w:ascii="Times New Roman" w:hAnsi="Times New Roman"/>
                <w:sz w:val="24"/>
                <w:szCs w:val="24"/>
              </w:rPr>
            </w:pPr>
            <w:r>
              <w:fldChar w:fldCharType="begin"/>
            </w:r>
            <w:r>
              <w:rPr>
                <w:sz w:val="24"/>
                <w:szCs w:val="24"/>
                <w:rFonts w:ascii="Times New Roman" w:hAnsi="Times New Roman"/>
              </w:rPr>
              <w:instrText xml:space="preserve"> =sum(C10)(D2:D9)</w:instrText>
            </w:r>
            <w:r>
              <w:rPr>
                <w:sz w:val="24"/>
                <w:szCs w:val="24"/>
                <w:rFonts w:ascii="Times New Roman" w:hAnsi="Times New Roman"/>
              </w:rPr>
              <w:fldChar w:fldCharType="separate"/>
            </w:r>
            <w:r>
              <w:rPr>
                <w:rFonts w:ascii="Times New Roman" w:hAnsi="Times New Roman"/>
                <w:sz w:val="24"/>
                <w:szCs w:val="24"/>
              </w:rPr>
              <w:t>2.000,00</w:t>
            </w:r>
            <w:r>
              <w:rPr>
                <w:sz w:val="24"/>
                <w:szCs w:val="24"/>
                <w:rFonts w:ascii="Times New Roman" w:hAnsi="Times New Roman"/>
              </w:rPr>
              <w:fldChar w:fldCharType="end"/>
            </w:r>
          </w:p>
        </w:tc>
        <w:tc>
          <w:tcPr>
            <w:tcW w:w="1245" w:type="dxa"/>
            <w:tcBorders>
              <w:left w:val="single" w:sz="4" w:space="0" w:color="000000"/>
              <w:bottom w:val="single" w:sz="4" w:space="0" w:color="000000"/>
            </w:tcBorders>
          </w:tcPr>
          <w:p>
            <w:pPr>
              <w:pStyle w:val="Sadrajitablice"/>
              <w:jc w:val="center"/>
              <w:rPr>
                <w:rFonts w:ascii="Times New Roman" w:hAnsi="Times New Roman"/>
                <w:sz w:val="24"/>
                <w:szCs w:val="24"/>
              </w:rPr>
            </w:pPr>
            <w:r>
              <w:fldChar w:fldCharType="begin"/>
            </w:r>
            <w:r>
              <w:rPr>
                <w:sz w:val="24"/>
                <w:szCs w:val="24"/>
                <w:rFonts w:ascii="Times New Roman" w:hAnsi="Times New Roman"/>
              </w:rPr>
              <w:instrText xml:space="preserve"> =sum((C10)|(D10))(E2:E9)</w:instrText>
            </w:r>
            <w:r>
              <w:rPr>
                <w:sz w:val="24"/>
                <w:szCs w:val="24"/>
                <w:rFonts w:ascii="Times New Roman" w:hAnsi="Times New Roman"/>
              </w:rPr>
              <w:fldChar w:fldCharType="separate"/>
            </w:r>
            <w:r>
              <w:rPr>
                <w:rFonts w:ascii="Times New Roman" w:hAnsi="Times New Roman"/>
                <w:sz w:val="24"/>
                <w:szCs w:val="24"/>
              </w:rPr>
              <w:t>2.000,00</w:t>
            </w:r>
            <w:r>
              <w:rPr>
                <w:sz w:val="24"/>
                <w:szCs w:val="24"/>
                <w:rFonts w:ascii="Times New Roman" w:hAnsi="Times New Roman"/>
              </w:rPr>
              <w:fldChar w:fldCharType="end"/>
            </w:r>
          </w:p>
        </w:tc>
        <w:tc>
          <w:tcPr>
            <w:tcW w:w="1463" w:type="dxa"/>
            <w:tcBorders>
              <w:left w:val="single" w:sz="4" w:space="0" w:color="000000"/>
              <w:bottom w:val="single" w:sz="4" w:space="0" w:color="000000"/>
              <w:right w:val="single" w:sz="4" w:space="0" w:color="000000"/>
            </w:tcBorders>
          </w:tcPr>
          <w:p>
            <w:pPr>
              <w:pStyle w:val="Sadrajitablice"/>
              <w:jc w:val="center"/>
              <w:rPr>
                <w:rFonts w:ascii="Times New Roman" w:hAnsi="Times New Roman"/>
                <w:sz w:val="24"/>
                <w:szCs w:val="24"/>
              </w:rPr>
            </w:pPr>
            <w:r>
              <w:fldChar w:fldCharType="begin"/>
            </w:r>
            <w:r>
              <w:rPr>
                <w:sz w:val="24"/>
                <w:szCs w:val="24"/>
                <w:rFonts w:ascii="Times New Roman" w:hAnsi="Times New Roman"/>
              </w:rPr>
              <w:instrText xml:space="preserve"> =sum((C10)|(D10)|(E10))(F2:F9)</w:instrText>
            </w:r>
            <w:r>
              <w:rPr>
                <w:sz w:val="24"/>
                <w:szCs w:val="24"/>
                <w:rFonts w:ascii="Times New Roman" w:hAnsi="Times New Roman"/>
              </w:rPr>
              <w:fldChar w:fldCharType="separate"/>
            </w:r>
            <w:r>
              <w:rPr>
                <w:rFonts w:ascii="Times New Roman" w:hAnsi="Times New Roman"/>
                <w:sz w:val="24"/>
                <w:szCs w:val="24"/>
              </w:rPr>
              <w:t>6.000,00</w:t>
            </w:r>
            <w:r>
              <w:rPr>
                <w:sz w:val="24"/>
                <w:szCs w:val="24"/>
                <w:rFonts w:ascii="Times New Roman" w:hAnsi="Times New Roman"/>
              </w:rPr>
              <w:fldChar w:fldCharType="end"/>
            </w:r>
          </w:p>
        </w:tc>
      </w:tr>
    </w:tbl>
    <w:p>
      <w:pPr>
        <w:pStyle w:val="Normal"/>
        <w:bidi w:val="0"/>
        <w:jc w:val="both"/>
        <w:rPr>
          <w:rFonts w:ascii="Times New Roman" w:hAnsi="Times New Roman"/>
          <w:sz w:val="24"/>
          <w:szCs w:val="24"/>
        </w:rPr>
      </w:pPr>
      <w:r>
        <w:rPr>
          <w:rFonts w:ascii="Times New Roman" w:hAnsi="Times New Roman"/>
          <w:sz w:val="24"/>
          <w:szCs w:val="24"/>
        </w:rPr>
      </w:r>
    </w:p>
    <w:p>
      <w:pPr>
        <w:pStyle w:val="Normal"/>
        <w:bidi w:val="0"/>
        <w:jc w:val="both"/>
        <w:rPr>
          <w:rFonts w:ascii="Times New Roman" w:hAnsi="Times New Roman"/>
          <w:sz w:val="24"/>
          <w:szCs w:val="24"/>
        </w:rPr>
      </w:pPr>
      <w:r>
        <w:rPr>
          <w:rFonts w:ascii="Times New Roman" w:hAnsi="Times New Roman"/>
          <w:sz w:val="24"/>
          <w:szCs w:val="24"/>
        </w:rPr>
        <w:t>Financiranje Crvenog križa, Hrvatske gorske službe spašavanja i Dobrovoljnog vatrogasnog društva</w:t>
      </w:r>
    </w:p>
    <w:p>
      <w:pPr>
        <w:pStyle w:val="Normal"/>
        <w:bidi w:val="0"/>
        <w:jc w:val="both"/>
        <w:rPr>
          <w:rFonts w:ascii="Times New Roman" w:hAnsi="Times New Roman"/>
          <w:sz w:val="24"/>
          <w:szCs w:val="24"/>
        </w:rPr>
      </w:pPr>
      <w:r>
        <w:rPr>
          <w:rFonts w:ascii="Times New Roman" w:hAnsi="Times New Roman"/>
          <w:sz w:val="24"/>
          <w:szCs w:val="24"/>
        </w:rPr>
        <w:t xml:space="preserve">uređeno je </w:t>
      </w:r>
      <w:r>
        <w:rPr>
          <w:rFonts w:ascii="Times New Roman" w:hAnsi="Times New Roman"/>
          <w:sz w:val="24"/>
          <w:szCs w:val="24"/>
        </w:rPr>
        <w:t>Proračunom Općine Vela Luka.</w:t>
      </w:r>
    </w:p>
    <w:p>
      <w:pPr>
        <w:pStyle w:val="Normal"/>
        <w:bidi w:val="0"/>
        <w:jc w:val="both"/>
        <w:rPr>
          <w:rFonts w:ascii="Times New Roman" w:hAnsi="Times New Roman"/>
          <w:sz w:val="24"/>
          <w:szCs w:val="24"/>
        </w:rPr>
      </w:pPr>
      <w:r>
        <w:rPr>
          <w:rFonts w:ascii="Times New Roman" w:hAnsi="Times New Roman"/>
          <w:sz w:val="24"/>
          <w:szCs w:val="24"/>
        </w:rPr>
      </w:r>
    </w:p>
    <w:p>
      <w:pPr>
        <w:pStyle w:val="Normal"/>
        <w:bidi w:val="0"/>
        <w:spacing w:before="114" w:after="114"/>
        <w:jc w:val="both"/>
        <w:rPr>
          <w:rFonts w:ascii="Times New Roman" w:hAnsi="Times New Roman"/>
          <w:b/>
          <w:bCs/>
          <w:sz w:val="24"/>
          <w:szCs w:val="24"/>
        </w:rPr>
      </w:pPr>
      <w:r>
        <w:rPr>
          <w:rFonts w:ascii="Times New Roman" w:hAnsi="Times New Roman"/>
          <w:b/>
          <w:bCs/>
          <w:sz w:val="24"/>
          <w:szCs w:val="24"/>
        </w:rPr>
        <w:t>V.</w:t>
      </w:r>
    </w:p>
    <w:p>
      <w:pPr>
        <w:pStyle w:val="Normal"/>
        <w:bidi w:val="0"/>
        <w:jc w:val="both"/>
        <w:rPr>
          <w:rFonts w:ascii="Times New Roman" w:hAnsi="Times New Roman"/>
          <w:sz w:val="24"/>
          <w:szCs w:val="24"/>
        </w:rPr>
      </w:pPr>
      <w:r>
        <w:rPr>
          <w:rFonts w:ascii="Times New Roman" w:hAnsi="Times New Roman"/>
          <w:sz w:val="24"/>
          <w:szCs w:val="24"/>
        </w:rPr>
        <w:t>Ovaj Godišnji plan objavit će se u Službenom glasniku Općine Vela Luka.</w:t>
      </w:r>
    </w:p>
    <w:p>
      <w:pPr>
        <w:pStyle w:val="Normal"/>
        <w:bidi w:val="0"/>
        <w:jc w:val="right"/>
        <w:rPr>
          <w:rFonts w:ascii="Times New Roman" w:hAnsi="Times New Roman"/>
          <w:sz w:val="24"/>
          <w:szCs w:val="24"/>
        </w:rPr>
      </w:pPr>
      <w:r>
        <w:rPr>
          <w:rFonts w:ascii="Times New Roman" w:hAnsi="Times New Roman"/>
          <w:sz w:val="24"/>
          <w:szCs w:val="24"/>
        </w:rPr>
      </w:r>
    </w:p>
    <w:p>
      <w:pPr>
        <w:pStyle w:val="Normal"/>
        <w:bidi w:val="0"/>
        <w:jc w:val="right"/>
        <w:rPr>
          <w:rFonts w:ascii="Times New Roman" w:hAnsi="Times New Roman"/>
          <w:sz w:val="24"/>
          <w:szCs w:val="24"/>
        </w:rPr>
      </w:pPr>
      <w:r>
        <w:rPr>
          <w:rFonts w:ascii="Times New Roman" w:hAnsi="Times New Roman"/>
          <w:sz w:val="24"/>
          <w:szCs w:val="24"/>
        </w:rPr>
        <w:t>Predsjednik Općinskog vijeća</w:t>
      </w:r>
    </w:p>
    <w:p>
      <w:pPr>
        <w:pStyle w:val="Normal"/>
        <w:bidi w:val="0"/>
        <w:jc w:val="right"/>
        <w:rPr>
          <w:rFonts w:ascii="Times New Roman" w:hAnsi="Times New Roman"/>
          <w:sz w:val="24"/>
          <w:szCs w:val="24"/>
        </w:rPr>
      </w:pPr>
      <w:r>
        <w:rPr>
          <w:rFonts w:ascii="Times New Roman" w:hAnsi="Times New Roman"/>
          <w:sz w:val="24"/>
          <w:szCs w:val="24"/>
        </w:rPr>
        <w:t>Zoran Manestar</w:t>
      </w:r>
    </w:p>
    <w:p>
      <w:pPr>
        <w:pStyle w:val="Normal"/>
        <w:bidi w:val="0"/>
        <w:jc w:val="right"/>
        <w:rPr>
          <w:rFonts w:ascii="Times New Roman" w:hAnsi="Times New Roman"/>
          <w:sz w:val="24"/>
          <w:szCs w:val="24"/>
        </w:rPr>
      </w:pPr>
      <w:r>
        <w:rPr>
          <w:rFonts w:ascii="Times New Roman" w:hAnsi="Times New Roman"/>
          <w:sz w:val="24"/>
          <w:szCs w:val="24"/>
        </w:rPr>
        <w:t>_____________________________</w:t>
      </w:r>
    </w:p>
    <w:p>
      <w:pPr>
        <w:pStyle w:val="Normal"/>
        <w:bidi w:val="0"/>
        <w:jc w:val="right"/>
        <w:rPr>
          <w:rFonts w:ascii="Times New Roman" w:hAnsi="Times New Roman"/>
          <w:sz w:val="24"/>
          <w:szCs w:val="24"/>
        </w:rPr>
      </w:pPr>
      <w:r>
        <w:rPr>
          <w:rFonts w:ascii="Times New Roman" w:hAnsi="Times New Roman"/>
          <w:sz w:val="24"/>
          <w:szCs w:val="24"/>
        </w:rPr>
      </w:r>
    </w:p>
    <w:p>
      <w:pPr>
        <w:pStyle w:val="Normal"/>
        <w:bidi w:val="0"/>
        <w:jc w:val="both"/>
        <w:rPr>
          <w:rFonts w:ascii="Times New Roman" w:hAnsi="Times New Roman"/>
          <w:sz w:val="24"/>
          <w:szCs w:val="24"/>
        </w:rPr>
      </w:pPr>
      <w:r>
        <w:rPr>
          <w:rFonts w:ascii="Times New Roman" w:hAnsi="Times New Roman"/>
          <w:sz w:val="24"/>
          <w:szCs w:val="24"/>
        </w:rPr>
      </w:r>
    </w:p>
    <w:p>
      <w:pPr>
        <w:pStyle w:val="Normal"/>
        <w:bidi w:val="0"/>
        <w:jc w:val="both"/>
        <w:rPr>
          <w:rFonts w:ascii="Times New Roman" w:hAnsi="Times New Roman"/>
          <w:sz w:val="24"/>
          <w:szCs w:val="24"/>
        </w:rPr>
      </w:pPr>
      <w:r>
        <w:rPr>
          <w:rFonts w:ascii="Times New Roman" w:hAnsi="Times New Roman"/>
          <w:sz w:val="24"/>
          <w:szCs w:val="24"/>
        </w:rPr>
      </w:r>
    </w:p>
    <w:p>
      <w:pPr>
        <w:pStyle w:val="Normal"/>
        <w:bidi w:val="0"/>
        <w:jc w:val="both"/>
        <w:rPr>
          <w:rFonts w:ascii="Times New Roman" w:hAnsi="Times New Roman"/>
          <w:sz w:val="24"/>
          <w:szCs w:val="24"/>
        </w:rPr>
      </w:pPr>
      <w:r>
        <w:rPr>
          <w:rFonts w:ascii="Times New Roman" w:hAnsi="Times New Roman"/>
          <w:sz w:val="24"/>
          <w:szCs w:val="24"/>
        </w:rPr>
        <w:t>Dostaviti:</w:t>
      </w:r>
    </w:p>
    <w:p>
      <w:pPr>
        <w:pStyle w:val="Normal"/>
        <w:bidi w:val="0"/>
        <w:jc w:val="both"/>
        <w:rPr>
          <w:rFonts w:ascii="Times New Roman" w:hAnsi="Times New Roman"/>
          <w:sz w:val="24"/>
          <w:szCs w:val="24"/>
        </w:rPr>
      </w:pPr>
      <w:r>
        <w:rPr>
          <w:rFonts w:ascii="Times New Roman" w:hAnsi="Times New Roman"/>
          <w:sz w:val="24"/>
          <w:szCs w:val="24"/>
        </w:rPr>
        <w:t>-"Službeni glasnik Općine Vela Luka"</w:t>
      </w:r>
    </w:p>
    <w:p>
      <w:pPr>
        <w:pStyle w:val="Normal"/>
        <w:bidi w:val="0"/>
        <w:jc w:val="both"/>
        <w:rPr>
          <w:rFonts w:ascii="Times New Roman" w:hAnsi="Times New Roman"/>
          <w:sz w:val="24"/>
          <w:szCs w:val="24"/>
        </w:rPr>
      </w:pPr>
      <w:r>
        <w:rPr>
          <w:rFonts w:ascii="Times New Roman" w:hAnsi="Times New Roman"/>
          <w:sz w:val="24"/>
          <w:szCs w:val="24"/>
        </w:rPr>
        <w:t>- Pismohrana</w:t>
      </w:r>
    </w:p>
    <w:p>
      <w:pPr>
        <w:pStyle w:val="Normal"/>
        <w:bidi w:val="0"/>
        <w:jc w:val="center"/>
        <w:rPr>
          <w:rFonts w:ascii="Times New Roman" w:hAnsi="Times New Roman"/>
          <w:sz w:val="24"/>
          <w:szCs w:val="24"/>
        </w:rPr>
      </w:pPr>
      <w:r>
        <w:rPr>
          <w:rFonts w:ascii="Times New Roman" w:hAnsi="Times New Roman"/>
          <w:sz w:val="24"/>
          <w:szCs w:val="24"/>
        </w:rPr>
      </w:r>
    </w:p>
    <w:p>
      <w:pPr>
        <w:pStyle w:val="Normal"/>
        <w:bidi w:val="0"/>
        <w:jc w:val="center"/>
        <w:rPr>
          <w:rFonts w:ascii="Times New Roman" w:hAnsi="Times New Roman"/>
          <w:sz w:val="24"/>
          <w:szCs w:val="24"/>
        </w:rPr>
      </w:pPr>
      <w:r>
        <w:rPr>
          <w:rFonts w:ascii="Times New Roman" w:hAnsi="Times New Roman"/>
          <w:sz w:val="24"/>
          <w:szCs w:val="24"/>
        </w:rPr>
      </w:r>
    </w:p>
    <w:p>
      <w:pPr>
        <w:pStyle w:val="Normal"/>
        <w:bidi w:val="0"/>
        <w:jc w:val="center"/>
        <w:rPr>
          <w:rFonts w:ascii="Times New Roman" w:hAnsi="Times New Roman"/>
          <w:sz w:val="24"/>
          <w:szCs w:val="24"/>
        </w:rPr>
      </w:pPr>
      <w:r>
        <w:rPr>
          <w:rFonts w:ascii="Times New Roman" w:hAnsi="Times New Roman"/>
          <w:sz w:val="24"/>
          <w:szCs w:val="24"/>
        </w:rPr>
      </w:r>
    </w:p>
    <w:p>
      <w:pPr>
        <w:pStyle w:val="Normal"/>
        <w:bidi w:val="0"/>
        <w:jc w:val="center"/>
        <w:rPr>
          <w:rFonts w:ascii="Times New Roman" w:hAnsi="Times New Roman"/>
          <w:sz w:val="24"/>
          <w:szCs w:val="24"/>
        </w:rPr>
      </w:pPr>
      <w:r>
        <w:rPr>
          <w:rFonts w:ascii="Times New Roman" w:hAnsi="Times New Roman"/>
          <w:sz w:val="24"/>
          <w:szCs w:val="24"/>
        </w:rPr>
      </w:r>
    </w:p>
    <w:p>
      <w:pPr>
        <w:pStyle w:val="Normal"/>
        <w:bidi w:val="0"/>
        <w:jc w:val="center"/>
        <w:rPr>
          <w:rFonts w:ascii="Times New Roman" w:hAnsi="Times New Roman"/>
          <w:sz w:val="24"/>
          <w:szCs w:val="24"/>
        </w:rPr>
      </w:pPr>
      <w:r>
        <w:rPr>
          <w:rFonts w:ascii="Times New Roman" w:hAnsi="Times New Roman"/>
          <w:sz w:val="24"/>
          <w:szCs w:val="24"/>
        </w:rPr>
        <w:t>OBRAZLOŽENJE</w:t>
      </w:r>
    </w:p>
    <w:p>
      <w:pPr>
        <w:pStyle w:val="Normal"/>
        <w:bidi w:val="0"/>
        <w:jc w:val="both"/>
        <w:rPr>
          <w:rFonts w:ascii="Times New Roman" w:hAnsi="Times New Roman"/>
          <w:sz w:val="24"/>
          <w:szCs w:val="24"/>
        </w:rPr>
      </w:pPr>
      <w:r>
        <w:rPr>
          <w:rFonts w:ascii="Times New Roman" w:hAnsi="Times New Roman"/>
          <w:sz w:val="24"/>
          <w:szCs w:val="24"/>
        </w:rPr>
      </w:r>
    </w:p>
    <w:p>
      <w:pPr>
        <w:pStyle w:val="Normal"/>
        <w:bidi w:val="0"/>
        <w:jc w:val="both"/>
        <w:rPr>
          <w:rFonts w:ascii="Times New Roman" w:hAnsi="Times New Roman"/>
          <w:sz w:val="24"/>
          <w:szCs w:val="24"/>
        </w:rPr>
      </w:pPr>
      <w:r>
        <w:rPr>
          <w:rFonts w:ascii="Times New Roman" w:hAnsi="Times New Roman"/>
          <w:sz w:val="24"/>
          <w:szCs w:val="24"/>
        </w:rPr>
        <w:t>Temeljem članka 17. stavka 1. Zakona o sustavu civilne zaštite (Narodne novine 82/15, 118/18, 31/20, 20/21 i 114/22), Općinsko vijeće mora donijeti Godišnji plan razvoja sustava civilne zaštite na području Općine Vela Luka u 2026. godini. Tim planom su planirana sredstva za razvoj sustava civilne zaštite, a sredstva potrebna za to su prikazana u tablici u poglavlju IV.</w:t>
      </w:r>
    </w:p>
    <w:p>
      <w:pPr>
        <w:pStyle w:val="Normal"/>
        <w:bidi w:val="0"/>
        <w:jc w:val="both"/>
        <w:rPr>
          <w:rFonts w:ascii="Times New Roman" w:hAnsi="Times New Roman"/>
          <w:sz w:val="24"/>
          <w:szCs w:val="24"/>
        </w:rPr>
      </w:pPr>
      <w:r>
        <w:rPr>
          <w:rFonts w:ascii="Times New Roman" w:hAnsi="Times New Roman"/>
          <w:sz w:val="24"/>
          <w:szCs w:val="24"/>
        </w:rPr>
        <w:t>Predlaže se Općinskom vijeću donošenje ove Odluke.</w:t>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swiss"/>
    <w:pitch w:val="variable"/>
  </w:font>
  <w:font w:name="Times New Roman">
    <w:charset w:val="ee"/>
    <w:family w:val="roman"/>
    <w:pitch w:val="variable"/>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hr-HR"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hr-HR" w:eastAsia="zh-CN" w:bidi="hi-IN"/>
    </w:rPr>
  </w:style>
  <w:style w:type="paragraph" w:styleId="Stilnaslova">
    <w:name w:val="Stil naslova"/>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Stilnaslovauser">
    <w:name w:val="Stil naslova (user)"/>
    <w:basedOn w:val="Normal"/>
    <w:next w:val="BodyText"/>
    <w:qFormat/>
    <w:pPr>
      <w:keepNext w:val="true"/>
      <w:spacing w:before="240" w:after="120"/>
    </w:pPr>
    <w:rPr>
      <w:rFonts w:ascii="Liberation Sans" w:hAnsi="Liberation Sans" w:eastAsia="Microsoft YaHei" w:cs="Arial"/>
      <w:sz w:val="28"/>
      <w:szCs w:val="28"/>
    </w:rPr>
  </w:style>
  <w:style w:type="paragraph" w:styleId="Indeksuser">
    <w:name w:val="Indeks (user)"/>
    <w:basedOn w:val="Normal"/>
    <w:qFormat/>
    <w:pPr>
      <w:suppressLineNumbers/>
    </w:pPr>
    <w:rPr>
      <w:rFonts w:cs="Arial"/>
    </w:rPr>
  </w:style>
  <w:style w:type="paragraph" w:styleId="Sadrajitablice">
    <w:name w:val="Sadržaji tablice"/>
    <w:basedOn w:val="Normal"/>
    <w:qFormat/>
    <w:pPr>
      <w:widowControl w:val="false"/>
      <w:suppressLineNumbers/>
    </w:pPr>
    <w:rPr/>
  </w:style>
  <w:style w:type="paragraph" w:styleId="Naslovtablice">
    <w:name w:val="Naslov tablice"/>
    <w:basedOn w:val="Sadrajitablice"/>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197</TotalTime>
  <Application>LibreOffice/25.2.7.2$Windows_X86_64 LibreOffice_project/5cbfd1ab6520636bb5f7b99185aa69bd7456825d</Application>
  <AppVersion>15.0000</AppVersion>
  <Pages>4</Pages>
  <Words>1152</Words>
  <Characters>7061</Characters>
  <CharactersWithSpaces>8113</CharactersWithSpaces>
  <Paragraphs>103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2025-11-06T11:13:52Z</dcterms:created>
  <dc:creator/>
  <dc:description/>
  <dc:language>hr-HR</dc:language>
  <cp:lastModifiedBy/>
  <dcterms:modified xsi:type="dcterms:W3CDTF">2025-12-01T14:49:48Z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