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F4F" w:rsidRPr="005331B9" w:rsidRDefault="00B06F4F" w:rsidP="00822859">
      <w:pPr>
        <w:jc w:val="center"/>
        <w:rPr>
          <w:b/>
        </w:rPr>
      </w:pPr>
      <w:r w:rsidRPr="005331B9">
        <w:rPr>
          <w:b/>
        </w:rPr>
        <w:t>OBRAZLOŽENJE UZ GODIŠNJI IZVJEŠTAJ O IZVRŠENJU</w:t>
      </w:r>
    </w:p>
    <w:p w:rsidR="00B06F4F" w:rsidRPr="005331B9" w:rsidRDefault="00B06F4F" w:rsidP="00822859">
      <w:pPr>
        <w:jc w:val="center"/>
        <w:rPr>
          <w:b/>
        </w:rPr>
      </w:pPr>
      <w:r w:rsidRPr="005331B9">
        <w:rPr>
          <w:b/>
        </w:rPr>
        <w:t>PR</w:t>
      </w:r>
      <w:r w:rsidR="000A7521">
        <w:rPr>
          <w:b/>
        </w:rPr>
        <w:t>ORAČUNA OPĆINE VELA LUKA ZA 202</w:t>
      </w:r>
      <w:r w:rsidR="00342C30">
        <w:rPr>
          <w:b/>
        </w:rPr>
        <w:t>5</w:t>
      </w:r>
      <w:r w:rsidRPr="005331B9">
        <w:rPr>
          <w:b/>
        </w:rPr>
        <w:t>. GODINU</w:t>
      </w:r>
    </w:p>
    <w:p w:rsidR="00B06F4F" w:rsidRPr="005331B9" w:rsidRDefault="00B06F4F" w:rsidP="00B06F4F">
      <w:pPr>
        <w:jc w:val="both"/>
      </w:pPr>
    </w:p>
    <w:p w:rsidR="004D6C66" w:rsidRPr="005331B9" w:rsidRDefault="004D6C66" w:rsidP="004D6C66">
      <w:r w:rsidRPr="005331B9">
        <w:t xml:space="preserve">Sukladno članku </w:t>
      </w:r>
      <w:r>
        <w:t>89</w:t>
      </w:r>
      <w:r w:rsidRPr="005331B9">
        <w:t>. Zakona o proračunu</w:t>
      </w:r>
      <w:r>
        <w:t xml:space="preserve"> („Narodne novine“ broj 144/21.)</w:t>
      </w:r>
      <w:r w:rsidRPr="005331B9">
        <w:t xml:space="preserve"> i članku </w:t>
      </w:r>
      <w:r>
        <w:t>55</w:t>
      </w:r>
      <w:r w:rsidRPr="005331B9">
        <w:t>. Pravilnika o polugodišnjem i godišnjem izvještaju o izvršenju proračuna</w:t>
      </w:r>
      <w:r>
        <w:t xml:space="preserve"> i financijskog plana („Narodne novine“ broj 85/23)</w:t>
      </w:r>
      <w:r w:rsidRPr="005331B9">
        <w:t>, Upravni odjel za proračun i financije Općine Vela Luka izradio je</w:t>
      </w:r>
      <w:r w:rsidRPr="00A21573">
        <w:t xml:space="preserve"> </w:t>
      </w:r>
      <w:r w:rsidRPr="005331B9">
        <w:t xml:space="preserve">godišnji izvještaj o izvršenju proračuna </w:t>
      </w:r>
      <w:r>
        <w:t>za 2025. godinu</w:t>
      </w:r>
      <w:r w:rsidRPr="005331B9">
        <w:t xml:space="preserve"> i dostavio</w:t>
      </w:r>
      <w:r>
        <w:t xml:space="preserve"> ga je</w:t>
      </w:r>
      <w:r w:rsidRPr="005331B9">
        <w:t xml:space="preserve"> Općinskoj načelnici </w:t>
      </w:r>
      <w:r w:rsidR="007D2BA8">
        <w:t>0</w:t>
      </w:r>
      <w:r w:rsidR="00142F20">
        <w:t>5</w:t>
      </w:r>
      <w:r>
        <w:t>.05.2026. godine (treba ga dostaviti do 05.05. tekuće godine za prethodnu).</w:t>
      </w:r>
      <w:r w:rsidRPr="00F80B5E">
        <w:t xml:space="preserve"> </w:t>
      </w:r>
      <w:r>
        <w:t>Načelnica podnosi Općinskom vijeću na donošenje prijedlog godišnjeg izvještaja o izvršenju proračuna do 31. svibnja tekuće godine za prethodnu godinu.</w:t>
      </w:r>
    </w:p>
    <w:p w:rsidR="004D6C66" w:rsidRDefault="004D6C66" w:rsidP="004D6C66">
      <w:r>
        <w:t>G</w:t>
      </w:r>
      <w:r w:rsidRPr="005331B9">
        <w:t xml:space="preserve">odišnji izvještaj o izvršenju proračuna se objavljuje na </w:t>
      </w:r>
      <w:r>
        <w:t>mrežnoj</w:t>
      </w:r>
      <w:r w:rsidRPr="005331B9">
        <w:t xml:space="preserve"> stranici Općine Vela Luka</w:t>
      </w:r>
      <w:r>
        <w:t xml:space="preserve"> u roku od 15 dana od dana usvajanja,</w:t>
      </w:r>
      <w:r w:rsidRPr="005331B9">
        <w:t xml:space="preserve"> a opći i posebni dio godišnjeg izvještaja</w:t>
      </w:r>
      <w:r>
        <w:t xml:space="preserve"> o izvršenju proračuna</w:t>
      </w:r>
      <w:r w:rsidRPr="005331B9">
        <w:t xml:space="preserve"> objavljuje se u Službenom glasniku Općine V</w:t>
      </w:r>
      <w:r w:rsidR="007D2BA8">
        <w:t>ela</w:t>
      </w:r>
      <w:r w:rsidRPr="005331B9">
        <w:t xml:space="preserve"> Luka (čl.</w:t>
      </w:r>
      <w:r>
        <w:t xml:space="preserve"> 57</w:t>
      </w:r>
      <w:r w:rsidRPr="005331B9">
        <w:t>. Pravilnika).</w:t>
      </w:r>
    </w:p>
    <w:p w:rsidR="004D6C66" w:rsidRPr="004D6C66" w:rsidRDefault="004D6C66" w:rsidP="004D6C66">
      <w:r>
        <w:t>Godišnji izvještaj o izvršenju proračuna Općine Vela Luka dostavlja se Ministarstvu financija i Državnom uredu za reviziju u roku od 15 dana nakon što ga donese Općinsko vijeće (čl. 90 st.1. Zakona o proračunu).</w:t>
      </w:r>
    </w:p>
    <w:p w:rsidR="004D6C66" w:rsidRPr="004D6C66" w:rsidRDefault="004D6C66" w:rsidP="004D6C66">
      <w:pPr>
        <w:pStyle w:val="Tijeloteksta31"/>
        <w:rPr>
          <w:sz w:val="24"/>
          <w:szCs w:val="24"/>
        </w:rPr>
      </w:pPr>
      <w:r>
        <w:rPr>
          <w:sz w:val="24"/>
          <w:szCs w:val="24"/>
        </w:rPr>
        <w:t xml:space="preserve">Sukladno čl. 56. Pravilnika, </w:t>
      </w:r>
      <w:r w:rsidRPr="004D6C66">
        <w:rPr>
          <w:sz w:val="24"/>
          <w:szCs w:val="24"/>
        </w:rPr>
        <w:t xml:space="preserve">Izvještaj </w:t>
      </w:r>
      <w:r>
        <w:rPr>
          <w:sz w:val="24"/>
          <w:szCs w:val="24"/>
        </w:rPr>
        <w:t>se</w:t>
      </w:r>
      <w:r w:rsidRPr="004D6C66">
        <w:rPr>
          <w:sz w:val="24"/>
          <w:szCs w:val="24"/>
        </w:rPr>
        <w:t xml:space="preserve"> dostavlja u obliku poveznice na mrežnu stranicu na kojoj je objavljen izvještaj putem elektroničke pošte.</w:t>
      </w:r>
    </w:p>
    <w:p w:rsidR="004D6C66" w:rsidRPr="005331B9" w:rsidRDefault="004D6C66" w:rsidP="004D6C66">
      <w:pPr>
        <w:pStyle w:val="Tijeloteksta31"/>
        <w:rPr>
          <w:sz w:val="24"/>
          <w:szCs w:val="24"/>
        </w:rPr>
      </w:pPr>
      <w:r>
        <w:rPr>
          <w:sz w:val="24"/>
          <w:szCs w:val="24"/>
        </w:rPr>
        <w:t>G</w:t>
      </w:r>
      <w:r w:rsidRPr="005331B9">
        <w:rPr>
          <w:sz w:val="24"/>
          <w:szCs w:val="24"/>
        </w:rPr>
        <w:t>odišnji izvještaj o izvršenju proračuna je objedinjeni (konsolidirani) izvještaj Općine Vela Luka i njenih proračunskih korisnika</w:t>
      </w:r>
      <w:r>
        <w:rPr>
          <w:sz w:val="24"/>
          <w:szCs w:val="24"/>
        </w:rPr>
        <w:t>;</w:t>
      </w:r>
      <w:r w:rsidRPr="005331B9">
        <w:rPr>
          <w:sz w:val="24"/>
          <w:szCs w:val="24"/>
        </w:rPr>
        <w:t xml:space="preserve"> Centra za kulturu Vela Luka, Dječjeg vrtića “Radost” i </w:t>
      </w:r>
      <w:r>
        <w:rPr>
          <w:sz w:val="24"/>
          <w:szCs w:val="24"/>
        </w:rPr>
        <w:t>Narodne k</w:t>
      </w:r>
      <w:r w:rsidRPr="005331B9">
        <w:rPr>
          <w:sz w:val="24"/>
          <w:szCs w:val="24"/>
        </w:rPr>
        <w:t>njižnice „Šime Vučetić“.</w:t>
      </w:r>
    </w:p>
    <w:p w:rsidR="004D6C66" w:rsidRDefault="004D6C66" w:rsidP="004D6C66"/>
    <w:p w:rsidR="004D6C66" w:rsidRPr="003F4122" w:rsidRDefault="004D6C66" w:rsidP="004D6C66">
      <w:pPr>
        <w:rPr>
          <w:b/>
        </w:rPr>
      </w:pPr>
      <w:r>
        <w:t xml:space="preserve">Sukladno čl. 76. Zakona i čl. 4. Pravilnika, </w:t>
      </w:r>
      <w:r w:rsidRPr="003F4122">
        <w:rPr>
          <w:b/>
        </w:rPr>
        <w:t>godišnji izvještaj o izvršenju proračuna sadrži opći i posebni dio, obrazloženje i posebne izvještaje.</w:t>
      </w:r>
    </w:p>
    <w:p w:rsidR="00350C98" w:rsidRDefault="00350C98" w:rsidP="00350C98">
      <w:pPr>
        <w:rPr>
          <w:b/>
        </w:rPr>
      </w:pPr>
    </w:p>
    <w:p w:rsidR="00350C98" w:rsidRDefault="00350C98" w:rsidP="00350C98">
      <w:r>
        <w:rPr>
          <w:b/>
        </w:rPr>
        <w:t>I</w:t>
      </w:r>
      <w:r w:rsidRPr="00266447">
        <w:rPr>
          <w:b/>
        </w:rPr>
        <w:t>.</w:t>
      </w:r>
      <w:r w:rsidRPr="005331B9">
        <w:t xml:space="preserve"> </w:t>
      </w:r>
      <w:r>
        <w:rPr>
          <w:b/>
          <w:u w:val="single"/>
        </w:rPr>
        <w:t>OPĆI DIO</w:t>
      </w:r>
      <w:r w:rsidRPr="00266447">
        <w:rPr>
          <w:b/>
          <w:u w:val="single"/>
        </w:rPr>
        <w:t xml:space="preserve"> proračuna</w:t>
      </w:r>
      <w:r w:rsidRPr="005331B9">
        <w:t xml:space="preserve"> </w:t>
      </w:r>
      <w:r>
        <w:t>sastoji se od:</w:t>
      </w:r>
    </w:p>
    <w:p w:rsidR="00350C98" w:rsidRDefault="00350C98" w:rsidP="00350C98"/>
    <w:p w:rsidR="00350C98" w:rsidRDefault="00350C98" w:rsidP="00350C98">
      <w:r w:rsidRPr="001C57C0">
        <w:rPr>
          <w:b/>
        </w:rPr>
        <w:t>I) Sažetak</w:t>
      </w:r>
      <w:r w:rsidRPr="005331B9">
        <w:t xml:space="preserve"> Račun</w:t>
      </w:r>
      <w:r>
        <w:t>a</w:t>
      </w:r>
      <w:r w:rsidRPr="005331B9">
        <w:t xml:space="preserve"> prihoda i rashoda i Račun</w:t>
      </w:r>
      <w:r>
        <w:t>a</w:t>
      </w:r>
      <w:r w:rsidRPr="005331B9">
        <w:t xml:space="preserve"> financiranja</w:t>
      </w:r>
      <w:r>
        <w:t xml:space="preserve"> (</w:t>
      </w:r>
      <w:r w:rsidRPr="001C57C0">
        <w:rPr>
          <w:i/>
        </w:rPr>
        <w:t>tablica 1</w:t>
      </w:r>
      <w:r>
        <w:t>.) - sadrži prikaz ukupno ostvarenih prihoda i primitaka te izvršenih rashoda i izdataka</w:t>
      </w:r>
      <w:r w:rsidRPr="005331B9">
        <w:t xml:space="preserve"> na razini </w:t>
      </w:r>
      <w:r>
        <w:t>razreda</w:t>
      </w:r>
      <w:r w:rsidRPr="005331B9">
        <w:t xml:space="preserve"> ekonomske klasifikacije (</w:t>
      </w:r>
      <w:r>
        <w:t>1.</w:t>
      </w:r>
      <w:r w:rsidRPr="005331B9">
        <w:t xml:space="preserve"> razini </w:t>
      </w:r>
      <w:r>
        <w:t>računskog plana</w:t>
      </w:r>
      <w:r w:rsidRPr="005331B9">
        <w:t>)</w:t>
      </w:r>
      <w:r>
        <w:t>, a može sadržavati i podatke o prenesenom višku odnosno manjku.</w:t>
      </w:r>
    </w:p>
    <w:p w:rsidR="00350C98" w:rsidRDefault="00350C98" w:rsidP="00350C98"/>
    <w:p w:rsidR="00350C98" w:rsidRDefault="001C57C0" w:rsidP="00350C98">
      <w:r w:rsidRPr="001C57C0">
        <w:rPr>
          <w:b/>
        </w:rPr>
        <w:t>A</w:t>
      </w:r>
      <w:r w:rsidR="00350C98" w:rsidRPr="001C57C0">
        <w:rPr>
          <w:b/>
        </w:rPr>
        <w:t>) Račun prihoda i rashoda</w:t>
      </w:r>
      <w:r w:rsidR="00350C98">
        <w:t xml:space="preserve"> - sadrži prikaz prihoda i rashoda iskazanih prema proračunskim klasifikacijama kroz 3 izvještaja: </w:t>
      </w:r>
    </w:p>
    <w:p w:rsidR="00350C98" w:rsidRDefault="00350C98" w:rsidP="00350C98">
      <w:r>
        <w:t>- prema ekonomskoj klasifikaciji (</w:t>
      </w:r>
      <w:r w:rsidRPr="001C57C0">
        <w:rPr>
          <w:i/>
        </w:rPr>
        <w:t>tablica 2</w:t>
      </w:r>
      <w:r>
        <w:t xml:space="preserve">.), </w:t>
      </w:r>
    </w:p>
    <w:p w:rsidR="00350C98" w:rsidRDefault="00350C98" w:rsidP="00350C98">
      <w:r>
        <w:t>- prema izvorima financiranja (</w:t>
      </w:r>
      <w:r w:rsidRPr="001C57C0">
        <w:rPr>
          <w:i/>
        </w:rPr>
        <w:t>tablica 3.)</w:t>
      </w:r>
      <w:r>
        <w:t xml:space="preserve"> i </w:t>
      </w:r>
    </w:p>
    <w:p w:rsidR="00350C98" w:rsidRDefault="00350C98" w:rsidP="00350C98">
      <w:r>
        <w:t>- prema funkcijskoj klasifikaciji (</w:t>
      </w:r>
      <w:r w:rsidRPr="001C57C0">
        <w:rPr>
          <w:i/>
        </w:rPr>
        <w:t>tablica 4</w:t>
      </w:r>
      <w:r>
        <w:t xml:space="preserve">.). </w:t>
      </w:r>
    </w:p>
    <w:p w:rsidR="00350C98" w:rsidRDefault="00350C98" w:rsidP="00350C98"/>
    <w:p w:rsidR="00350C98" w:rsidRDefault="001C57C0" w:rsidP="00350C98">
      <w:r w:rsidRPr="001C57C0">
        <w:rPr>
          <w:b/>
        </w:rPr>
        <w:t>B</w:t>
      </w:r>
      <w:r w:rsidR="00350C98" w:rsidRPr="001C57C0">
        <w:rPr>
          <w:b/>
        </w:rPr>
        <w:t>) Račun financiranja</w:t>
      </w:r>
      <w:r w:rsidR="00350C98" w:rsidRPr="00BF2971">
        <w:rPr>
          <w:u w:val="single"/>
        </w:rPr>
        <w:t xml:space="preserve"> </w:t>
      </w:r>
      <w:r w:rsidR="00350C98">
        <w:t>- sadrži prikaz primitaka i izdataka koji se iskazuju kroz 2 izvještaja:</w:t>
      </w:r>
    </w:p>
    <w:p w:rsidR="00350C98" w:rsidRDefault="00350C98" w:rsidP="00350C98">
      <w:r>
        <w:t>- prema ekonomskoj klasifikaciji (</w:t>
      </w:r>
      <w:r w:rsidRPr="001C57C0">
        <w:rPr>
          <w:i/>
        </w:rPr>
        <w:t>tablica 5</w:t>
      </w:r>
      <w:r>
        <w:t xml:space="preserve">.) i </w:t>
      </w:r>
    </w:p>
    <w:p w:rsidR="00350C98" w:rsidRDefault="00350C98" w:rsidP="00350C98">
      <w:r>
        <w:t>- prema izvorima financiranja (</w:t>
      </w:r>
      <w:r w:rsidRPr="001C57C0">
        <w:rPr>
          <w:i/>
        </w:rPr>
        <w:t>tablica 6.).</w:t>
      </w:r>
    </w:p>
    <w:p w:rsidR="00350C98" w:rsidRDefault="00350C98" w:rsidP="00350C98">
      <w:r w:rsidRPr="005331B9">
        <w:br/>
      </w:r>
      <w:r>
        <w:rPr>
          <w:b/>
        </w:rPr>
        <w:t>II</w:t>
      </w:r>
      <w:r w:rsidRPr="00266447">
        <w:rPr>
          <w:b/>
        </w:rPr>
        <w:t>.</w:t>
      </w:r>
      <w:r w:rsidRPr="005331B9">
        <w:t xml:space="preserve"> </w:t>
      </w:r>
      <w:r>
        <w:rPr>
          <w:b/>
          <w:u w:val="single"/>
        </w:rPr>
        <w:t>POSEBNI DIO</w:t>
      </w:r>
      <w:r w:rsidRPr="00266447">
        <w:rPr>
          <w:b/>
          <w:u w:val="single"/>
        </w:rPr>
        <w:t xml:space="preserve"> proračuna</w:t>
      </w:r>
      <w:r w:rsidRPr="005331B9">
        <w:t xml:space="preserve"> </w:t>
      </w:r>
      <w:r>
        <w:t>iskazuje se kroz 2 izvještaja:</w:t>
      </w:r>
    </w:p>
    <w:p w:rsidR="00350C98" w:rsidRDefault="00350C98" w:rsidP="00350C98"/>
    <w:p w:rsidR="00350C98" w:rsidRDefault="00350C98" w:rsidP="00350C98">
      <w:r>
        <w:t xml:space="preserve">- </w:t>
      </w:r>
      <w:r w:rsidRPr="00734F70">
        <w:rPr>
          <w:u w:val="single"/>
        </w:rPr>
        <w:t>p</w:t>
      </w:r>
      <w:r>
        <w:rPr>
          <w:u w:val="single"/>
        </w:rPr>
        <w:t>rema</w:t>
      </w:r>
      <w:r w:rsidRPr="00734F70">
        <w:rPr>
          <w:u w:val="single"/>
        </w:rPr>
        <w:t xml:space="preserve"> organizacijskoj klasifikaciji</w:t>
      </w:r>
      <w:r>
        <w:t xml:space="preserve"> (</w:t>
      </w:r>
      <w:r w:rsidRPr="001C57C0">
        <w:rPr>
          <w:i/>
        </w:rPr>
        <w:t>tablica 7</w:t>
      </w:r>
      <w:r>
        <w:t xml:space="preserve">.) - sadrži prikaz rashoda i izdataka iskazanih po organizacijskoj klasifikaciji (Općinsko vijeće i Načelnik, Upravna tijela s proračunskim korisnicima) i </w:t>
      </w:r>
    </w:p>
    <w:p w:rsidR="00350C98" w:rsidRDefault="00350C98" w:rsidP="00350C98">
      <w:r>
        <w:t xml:space="preserve">- </w:t>
      </w:r>
      <w:r w:rsidRPr="00734F70">
        <w:rPr>
          <w:u w:val="single"/>
        </w:rPr>
        <w:t>p</w:t>
      </w:r>
      <w:r>
        <w:rPr>
          <w:u w:val="single"/>
        </w:rPr>
        <w:t>rema</w:t>
      </w:r>
      <w:r w:rsidRPr="00734F70">
        <w:rPr>
          <w:u w:val="single"/>
        </w:rPr>
        <w:t xml:space="preserve"> programskoj klasifikaciji</w:t>
      </w:r>
      <w:r>
        <w:t xml:space="preserve"> (</w:t>
      </w:r>
      <w:r w:rsidRPr="001C57C0">
        <w:rPr>
          <w:i/>
        </w:rPr>
        <w:t>tablica 8</w:t>
      </w:r>
      <w:r>
        <w:t>.) - sadrži prikaz rashoda i izdataka proračuna iskazanih po organizacijskoj klasifikaciji, izvorima financiranja i ekonomskoj klasifikaciji, raspoređenih u programe koji se sastoje od aktivnosti i projekata.</w:t>
      </w:r>
    </w:p>
    <w:p w:rsidR="00350C98" w:rsidRDefault="00350C98" w:rsidP="008E2114">
      <w:pPr>
        <w:rPr>
          <w:b/>
        </w:rPr>
      </w:pPr>
    </w:p>
    <w:p w:rsidR="00350C98" w:rsidRDefault="00350C98" w:rsidP="00350C98">
      <w:r>
        <w:rPr>
          <w:b/>
        </w:rPr>
        <w:t>III</w:t>
      </w:r>
      <w:r w:rsidRPr="00A12D1D">
        <w:rPr>
          <w:b/>
          <w:u w:val="single"/>
        </w:rPr>
        <w:t>.</w:t>
      </w:r>
      <w:r w:rsidRPr="00A12D1D">
        <w:rPr>
          <w:u w:val="single"/>
        </w:rPr>
        <w:t xml:space="preserve"> </w:t>
      </w:r>
      <w:r w:rsidRPr="00A12D1D">
        <w:rPr>
          <w:b/>
          <w:u w:val="single"/>
        </w:rPr>
        <w:t>Obrazloženje općeg dijela</w:t>
      </w:r>
      <w:r>
        <w:t xml:space="preserve"> izvještaja o izvršenju proračuna (čl. 21. Pravilnika) sadrži:</w:t>
      </w:r>
    </w:p>
    <w:p w:rsidR="00350C98" w:rsidRDefault="00350C98" w:rsidP="00350C98"/>
    <w:p w:rsidR="00350C98" w:rsidRDefault="00350C98" w:rsidP="00350C98">
      <w:r>
        <w:t xml:space="preserve">1.) </w:t>
      </w:r>
      <w:r w:rsidRPr="005331B9">
        <w:t>obrazloženje ostvarenja prihoda i rashoda</w:t>
      </w:r>
      <w:r>
        <w:t>, primitaka</w:t>
      </w:r>
      <w:r w:rsidRPr="005331B9">
        <w:t xml:space="preserve"> i izdataka</w:t>
      </w:r>
      <w:r>
        <w:t xml:space="preserve"> u izvještajnom razdoblju, </w:t>
      </w:r>
    </w:p>
    <w:p w:rsidR="00350C98" w:rsidRDefault="00350C98" w:rsidP="00350C98">
      <w:r>
        <w:t xml:space="preserve">2.) </w:t>
      </w:r>
      <w:r w:rsidRPr="005E3AEC">
        <w:t xml:space="preserve"> </w:t>
      </w:r>
      <w:r>
        <w:t>podaci o stanju novčanih sredstava na računima proračuna i proračunskih korisnika na početku i na kraju proračunske godine.</w:t>
      </w:r>
    </w:p>
    <w:p w:rsidR="00350C98" w:rsidRDefault="00350C98" w:rsidP="00350C98">
      <w:r>
        <w:t>3.) prikaz ostvarenog manjka odnosno viška proračuna</w:t>
      </w:r>
      <w:r w:rsidRPr="0070094D">
        <w:t xml:space="preserve"> </w:t>
      </w:r>
      <w:r>
        <w:t>u izvještajnom razdoblju.</w:t>
      </w:r>
    </w:p>
    <w:p w:rsidR="00350C98" w:rsidRDefault="00350C98" w:rsidP="00350C98">
      <w:r>
        <w:rPr>
          <w:b/>
        </w:rPr>
        <w:lastRenderedPageBreak/>
        <w:t>IV</w:t>
      </w:r>
      <w:r w:rsidRPr="00266447">
        <w:rPr>
          <w:b/>
        </w:rPr>
        <w:t xml:space="preserve">. </w:t>
      </w:r>
      <w:r w:rsidRPr="00266447">
        <w:rPr>
          <w:b/>
          <w:u w:val="single"/>
        </w:rPr>
        <w:t>Posebni izvještaji</w:t>
      </w:r>
      <w:r>
        <w:t xml:space="preserve"> u godišnjem izvještaju o izvršenju proračuna (čl. 23. st. 2. Pravilnika) su:</w:t>
      </w:r>
    </w:p>
    <w:p w:rsidR="00350C98" w:rsidRDefault="00350C98" w:rsidP="00350C98">
      <w:r>
        <w:t>1.)</w:t>
      </w:r>
      <w:r w:rsidRPr="005331B9">
        <w:t xml:space="preserve"> izvještaj o korištenju proračunske zalihe (Općina Vela Luka nema proračunsku zalihu), </w:t>
      </w:r>
    </w:p>
    <w:p w:rsidR="00350C98" w:rsidRDefault="00350C98" w:rsidP="00350C98">
      <w:r>
        <w:t xml:space="preserve">2.) </w:t>
      </w:r>
      <w:r w:rsidRPr="005331B9">
        <w:t>izvještaj o zaduživanju na domaćem i stranom tržištu novca i kapitala,</w:t>
      </w:r>
      <w:r w:rsidRPr="005331B9">
        <w:br/>
      </w:r>
      <w:r>
        <w:t xml:space="preserve">3.) </w:t>
      </w:r>
      <w:r w:rsidRPr="005331B9">
        <w:t xml:space="preserve">izvještaj o danim jamstvima i </w:t>
      </w:r>
      <w:r>
        <w:t xml:space="preserve">plaćanjima </w:t>
      </w:r>
      <w:r w:rsidRPr="005331B9">
        <w:t xml:space="preserve">po </w:t>
      </w:r>
      <w:r>
        <w:t xml:space="preserve">protestiranim </w:t>
      </w:r>
      <w:r w:rsidRPr="005331B9">
        <w:t>jamstvima (Općina Vela Luka u promatranom razdoblju nije davala jamstva)</w:t>
      </w:r>
      <w:r>
        <w:t>,</w:t>
      </w:r>
    </w:p>
    <w:p w:rsidR="00350C98" w:rsidRDefault="00350C98" w:rsidP="00350C98">
      <w:r>
        <w:t>4.) izvještaj o korištenju sredstava fondova Europske unije,</w:t>
      </w:r>
      <w:r w:rsidRPr="005331B9">
        <w:br/>
      </w:r>
      <w:r>
        <w:t xml:space="preserve">5.) izvještaj o danim zajmovima i potraživanjima po danim zajmovima </w:t>
      </w:r>
      <w:r w:rsidRPr="005331B9">
        <w:t xml:space="preserve">(Općina Vela Luka u promatranom razdoblju nije davala </w:t>
      </w:r>
      <w:r>
        <w:t>zajmove</w:t>
      </w:r>
      <w:r w:rsidRPr="005331B9">
        <w:t>)</w:t>
      </w:r>
      <w:r>
        <w:t xml:space="preserve"> i</w:t>
      </w:r>
    </w:p>
    <w:p w:rsidR="00350C98" w:rsidRDefault="00350C98" w:rsidP="00350C98">
      <w:r>
        <w:t>6.) izvještaj o stanju potraživanja i dospjelih obveza te o stanju potencijalnih obveza po osnovi sudskih sporova.</w:t>
      </w:r>
    </w:p>
    <w:p w:rsidR="00350C98" w:rsidRDefault="00350C98" w:rsidP="00175907">
      <w:pPr>
        <w:pStyle w:val="BodyText"/>
        <w:tabs>
          <w:tab w:val="right" w:leader="dot" w:pos="9072"/>
        </w:tabs>
        <w:jc w:val="left"/>
        <w:rPr>
          <w:b/>
        </w:rPr>
      </w:pPr>
    </w:p>
    <w:p w:rsidR="00E13AB8" w:rsidRDefault="003165AA" w:rsidP="00175907">
      <w:pPr>
        <w:pStyle w:val="BodyText"/>
        <w:tabs>
          <w:tab w:val="right" w:leader="dot" w:pos="9072"/>
        </w:tabs>
        <w:jc w:val="left"/>
        <w:rPr>
          <w:b/>
          <w:sz w:val="28"/>
          <w:szCs w:val="28"/>
        </w:rPr>
      </w:pPr>
      <w:r>
        <w:rPr>
          <w:b/>
          <w:sz w:val="28"/>
          <w:szCs w:val="28"/>
        </w:rPr>
        <w:t>III</w:t>
      </w:r>
      <w:r w:rsidR="00AA22EC" w:rsidRPr="008E244D">
        <w:rPr>
          <w:b/>
          <w:sz w:val="28"/>
          <w:szCs w:val="28"/>
        </w:rPr>
        <w:t>. Obrazloženje općeg dijela izvještaja o izvršenju proračuna</w:t>
      </w:r>
    </w:p>
    <w:p w:rsidR="00855D23" w:rsidRDefault="00855D23" w:rsidP="00175907">
      <w:pPr>
        <w:pStyle w:val="BodyText"/>
        <w:tabs>
          <w:tab w:val="right" w:leader="dot" w:pos="9072"/>
        </w:tabs>
        <w:jc w:val="left"/>
        <w:rPr>
          <w:b/>
          <w:sz w:val="28"/>
          <w:szCs w:val="28"/>
        </w:rPr>
      </w:pPr>
    </w:p>
    <w:p w:rsidR="00855D23" w:rsidRPr="00B45268" w:rsidRDefault="00855D23" w:rsidP="00855D23">
      <w:pPr>
        <w:pStyle w:val="BodyText"/>
        <w:tabs>
          <w:tab w:val="right" w:leader="dot" w:pos="9072"/>
        </w:tabs>
        <w:jc w:val="left"/>
        <w:rPr>
          <w:b/>
          <w:u w:val="single"/>
        </w:rPr>
      </w:pPr>
      <w:r>
        <w:rPr>
          <w:b/>
          <w:u w:val="single"/>
        </w:rPr>
        <w:t xml:space="preserve">III.1.) </w:t>
      </w:r>
      <w:r w:rsidRPr="00B45268">
        <w:rPr>
          <w:b/>
          <w:u w:val="single"/>
        </w:rPr>
        <w:t>Obrazloženje ostvarenja prihoda i rashoda</w:t>
      </w:r>
      <w:r>
        <w:rPr>
          <w:b/>
          <w:u w:val="single"/>
        </w:rPr>
        <w:t>, primitaka</w:t>
      </w:r>
      <w:r w:rsidRPr="00B45268">
        <w:rPr>
          <w:b/>
          <w:u w:val="single"/>
        </w:rPr>
        <w:t xml:space="preserve"> i izdataka</w:t>
      </w:r>
      <w:r>
        <w:rPr>
          <w:b/>
          <w:u w:val="single"/>
        </w:rPr>
        <w:t xml:space="preserve"> u izvještajnom razdoblju</w:t>
      </w:r>
    </w:p>
    <w:p w:rsidR="00855D23" w:rsidRDefault="00855D23" w:rsidP="00855D23">
      <w:pPr>
        <w:rPr>
          <w:b/>
          <w:sz w:val="22"/>
          <w:szCs w:val="22"/>
        </w:rPr>
      </w:pPr>
    </w:p>
    <w:p w:rsidR="00855D23" w:rsidRDefault="007D2BA8" w:rsidP="00855D23">
      <w:pPr>
        <w:rPr>
          <w:b/>
        </w:rPr>
      </w:pPr>
      <w:r>
        <w:rPr>
          <w:b/>
        </w:rPr>
        <w:t>1</w:t>
      </w:r>
      <w:r w:rsidR="00855D23">
        <w:rPr>
          <w:b/>
        </w:rPr>
        <w:t xml:space="preserve">) </w:t>
      </w:r>
      <w:r w:rsidR="00855D23" w:rsidRPr="005331B9">
        <w:rPr>
          <w:b/>
        </w:rPr>
        <w:t>PRIHODI</w:t>
      </w:r>
      <w:r w:rsidR="00855D23">
        <w:rPr>
          <w:b/>
        </w:rPr>
        <w:t xml:space="preserve"> I RASHODI</w:t>
      </w:r>
    </w:p>
    <w:p w:rsidR="006E17DA" w:rsidRDefault="006E17DA" w:rsidP="00854E0C">
      <w:pPr>
        <w:rPr>
          <w:b/>
        </w:rPr>
      </w:pPr>
    </w:p>
    <w:p w:rsidR="0095279D" w:rsidRDefault="007D2BA8" w:rsidP="00854E0C">
      <w:pPr>
        <w:rPr>
          <w:b/>
        </w:rPr>
      </w:pPr>
      <w:r>
        <w:rPr>
          <w:b/>
        </w:rPr>
        <w:t>1</w:t>
      </w:r>
      <w:r w:rsidR="00990F20">
        <w:rPr>
          <w:b/>
        </w:rPr>
        <w:t>.</w:t>
      </w:r>
      <w:r w:rsidR="0095279D">
        <w:rPr>
          <w:b/>
        </w:rPr>
        <w:t>A</w:t>
      </w:r>
      <w:r w:rsidR="00990F20">
        <w:rPr>
          <w:b/>
        </w:rPr>
        <w:t>.</w:t>
      </w:r>
      <w:r w:rsidR="0095279D">
        <w:rPr>
          <w:b/>
        </w:rPr>
        <w:t>) PRIHODI</w:t>
      </w:r>
      <w:r w:rsidR="00E065BA">
        <w:rPr>
          <w:b/>
        </w:rPr>
        <w:t xml:space="preserve"> se sastoje od prihoda poslovanja i prihoda od prodaje nefinancijske imovine.</w:t>
      </w:r>
    </w:p>
    <w:p w:rsidR="007D2BA8" w:rsidRDefault="007D2BA8" w:rsidP="00854E0C">
      <w:pPr>
        <w:rPr>
          <w:b/>
        </w:rPr>
      </w:pPr>
    </w:p>
    <w:p w:rsidR="00974DA9" w:rsidRPr="00974DA9" w:rsidRDefault="00974DA9" w:rsidP="00974DA9">
      <w:r w:rsidRPr="00974DA9">
        <w:t>U 202</w:t>
      </w:r>
      <w:r w:rsidR="00B314CF">
        <w:t>5</w:t>
      </w:r>
      <w:r w:rsidRPr="00974DA9">
        <w:t xml:space="preserve">.g. ostvareni su ukupni prihodi </w:t>
      </w:r>
      <w:r>
        <w:t>(razred 6+7)</w:t>
      </w:r>
      <w:r w:rsidRPr="00974DA9">
        <w:t xml:space="preserve"> u iznosu od </w:t>
      </w:r>
      <w:r w:rsidR="001B4E44" w:rsidRPr="00687A7A">
        <w:rPr>
          <w:b/>
        </w:rPr>
        <w:t>3.815.301,88</w:t>
      </w:r>
      <w:r w:rsidR="004E3A7B" w:rsidRPr="00687A7A">
        <w:rPr>
          <w:b/>
        </w:rPr>
        <w:t xml:space="preserve"> EUR</w:t>
      </w:r>
      <w:r w:rsidR="004E3A7B" w:rsidRPr="001904A9">
        <w:t xml:space="preserve"> (Općina </w:t>
      </w:r>
      <w:r w:rsidR="001B4E44">
        <w:t>3.357.</w:t>
      </w:r>
      <w:r w:rsidR="00712C2D">
        <w:t xml:space="preserve">573,89 </w:t>
      </w:r>
      <w:r w:rsidR="004E3A7B" w:rsidRPr="001904A9">
        <w:t xml:space="preserve">EUR + proračunski korisnici </w:t>
      </w:r>
      <w:r w:rsidR="00712C2D">
        <w:t>457.727,99</w:t>
      </w:r>
      <w:r w:rsidR="004E3A7B" w:rsidRPr="001904A9">
        <w:t xml:space="preserve"> EUR),</w:t>
      </w:r>
      <w:r w:rsidR="004E3A7B">
        <w:t xml:space="preserve"> </w:t>
      </w:r>
      <w:r w:rsidRPr="00974DA9">
        <w:t>dok su u istom razdoblju 202</w:t>
      </w:r>
      <w:r w:rsidR="00EC07ED">
        <w:t>4</w:t>
      </w:r>
      <w:r w:rsidRPr="00974DA9">
        <w:t xml:space="preserve">.g. iznosili </w:t>
      </w:r>
      <w:r w:rsidR="001B4E44">
        <w:t>3.590.194,08 EUR</w:t>
      </w:r>
      <w:r w:rsidR="001B4E44" w:rsidRPr="00974DA9">
        <w:t xml:space="preserve"> (Općina </w:t>
      </w:r>
      <w:r w:rsidR="001B4E44">
        <w:t>3.349.433,06 eura</w:t>
      </w:r>
      <w:r w:rsidR="001B4E44" w:rsidRPr="00974DA9">
        <w:t xml:space="preserve"> + proračunski korisnici </w:t>
      </w:r>
      <w:r w:rsidR="001B4E44">
        <w:t>240.761,02 eura</w:t>
      </w:r>
      <w:r w:rsidR="001B4E44" w:rsidRPr="00974DA9">
        <w:t>)</w:t>
      </w:r>
      <w:r w:rsidR="004E3A7B">
        <w:t xml:space="preserve"> </w:t>
      </w:r>
      <w:r w:rsidR="0095279D">
        <w:t xml:space="preserve">i </w:t>
      </w:r>
      <w:r w:rsidRPr="00974DA9">
        <w:t xml:space="preserve">veći su za </w:t>
      </w:r>
      <w:r w:rsidR="001B4E44">
        <w:t>6,27</w:t>
      </w:r>
      <w:r w:rsidRPr="00974DA9">
        <w:t>%.</w:t>
      </w:r>
    </w:p>
    <w:p w:rsidR="00974DA9" w:rsidRDefault="00974DA9" w:rsidP="00974DA9"/>
    <w:p w:rsidR="004E3A7B" w:rsidRPr="001904A9" w:rsidRDefault="00E065BA" w:rsidP="004E3A7B">
      <w:r>
        <w:rPr>
          <w:b/>
        </w:rPr>
        <w:t>I.A.1.)</w:t>
      </w:r>
      <w:r w:rsidR="006E17DA">
        <w:rPr>
          <w:b/>
        </w:rPr>
        <w:t xml:space="preserve"> </w:t>
      </w:r>
      <w:r w:rsidR="00974DA9" w:rsidRPr="00974DA9">
        <w:rPr>
          <w:b/>
        </w:rPr>
        <w:t>P</w:t>
      </w:r>
      <w:r w:rsidR="007C137F">
        <w:rPr>
          <w:b/>
        </w:rPr>
        <w:t>RIHODI</w:t>
      </w:r>
      <w:r w:rsidR="00974DA9" w:rsidRPr="00974DA9">
        <w:t xml:space="preserve"> </w:t>
      </w:r>
      <w:r w:rsidR="00974DA9" w:rsidRPr="00E065BA">
        <w:rPr>
          <w:b/>
        </w:rPr>
        <w:t>poslovanja (razred 6)</w:t>
      </w:r>
      <w:r w:rsidR="00974DA9" w:rsidRPr="00974DA9">
        <w:t xml:space="preserve"> </w:t>
      </w:r>
      <w:r w:rsidR="00594ACE">
        <w:t>su veći za 5,55%</w:t>
      </w:r>
      <w:r w:rsidR="00B64ECD">
        <w:t xml:space="preserve"> u 2025. u odnosu na 2024. godinu</w:t>
      </w:r>
      <w:r w:rsidR="00594ACE">
        <w:t xml:space="preserve">. U 2025. godini su </w:t>
      </w:r>
      <w:r w:rsidR="006A385F">
        <w:t xml:space="preserve">ostvareni u iznosu od </w:t>
      </w:r>
      <w:r w:rsidR="007C137F" w:rsidRPr="00711D1E">
        <w:rPr>
          <w:b/>
          <w:u w:val="single"/>
        </w:rPr>
        <w:t>3.788.507,12</w:t>
      </w:r>
      <w:r w:rsidR="00594ACE" w:rsidRPr="00711D1E">
        <w:rPr>
          <w:b/>
          <w:u w:val="single"/>
        </w:rPr>
        <w:t xml:space="preserve"> eura</w:t>
      </w:r>
      <w:r w:rsidR="00594ACE">
        <w:t xml:space="preserve"> (Općina je ostvarila prihod u iznosu od 3.330.779,13 eura, a proračunski korisnici 457.727,99</w:t>
      </w:r>
      <w:r w:rsidR="006A385F" w:rsidRPr="001904A9">
        <w:rPr>
          <w:b/>
        </w:rPr>
        <w:t xml:space="preserve"> </w:t>
      </w:r>
      <w:r w:rsidR="006A385F">
        <w:t>eura</w:t>
      </w:r>
      <w:r w:rsidR="00594ACE">
        <w:t>), dok su godinu ranije iznosili</w:t>
      </w:r>
      <w:r w:rsidR="006A385F">
        <w:t xml:space="preserve"> </w:t>
      </w:r>
      <w:r w:rsidR="00B64ECD" w:rsidRPr="00B64ECD">
        <w:t xml:space="preserve">3.589.131,48 </w:t>
      </w:r>
      <w:r w:rsidR="00B64ECD">
        <w:t>eura</w:t>
      </w:r>
      <w:r w:rsidR="00B64ECD" w:rsidRPr="00AC63D4">
        <w:t xml:space="preserve"> (Općina </w:t>
      </w:r>
      <w:r w:rsidR="00B64ECD">
        <w:t>3.348.370,46 eura, a</w:t>
      </w:r>
      <w:r w:rsidR="00B64ECD" w:rsidRPr="00AC63D4">
        <w:t xml:space="preserve"> proračunski korisn</w:t>
      </w:r>
      <w:r w:rsidR="00B64ECD">
        <w:t>ici</w:t>
      </w:r>
      <w:r w:rsidR="00B64ECD" w:rsidRPr="00AC63D4">
        <w:t xml:space="preserve"> </w:t>
      </w:r>
      <w:r w:rsidR="00B64ECD">
        <w:t>240.761,02 eura</w:t>
      </w:r>
      <w:r w:rsidR="00B64ECD" w:rsidRPr="00AC63D4">
        <w:t>)</w:t>
      </w:r>
      <w:r w:rsidR="006A385F">
        <w:t xml:space="preserve">. Njihova najznačajnija kategorija su </w:t>
      </w:r>
      <w:r w:rsidR="006A385F">
        <w:rPr>
          <w:bCs/>
          <w:iCs/>
        </w:rPr>
        <w:t>porezni prihodi</w:t>
      </w:r>
      <w:r w:rsidR="006A385F">
        <w:t xml:space="preserve">. </w:t>
      </w:r>
      <w:r w:rsidR="004E3A7B">
        <w:t>Sastoje se od:</w:t>
      </w:r>
    </w:p>
    <w:p w:rsidR="00553A1B" w:rsidRDefault="00E065BA" w:rsidP="00E47052">
      <w:r w:rsidRPr="007F6418">
        <w:rPr>
          <w:b/>
          <w:u w:val="single"/>
        </w:rPr>
        <w:t xml:space="preserve">1. </w:t>
      </w:r>
      <w:r w:rsidR="00C00DD4" w:rsidRPr="007F6418">
        <w:rPr>
          <w:b/>
          <w:u w:val="single"/>
        </w:rPr>
        <w:t xml:space="preserve">Prihodi od poreza </w:t>
      </w:r>
      <w:r w:rsidR="00C00DD4" w:rsidRPr="007F6418">
        <w:rPr>
          <w:b/>
        </w:rPr>
        <w:t>(61)</w:t>
      </w:r>
      <w:r w:rsidR="00D9471E">
        <w:t xml:space="preserve"> </w:t>
      </w:r>
      <w:r w:rsidR="00E47052">
        <w:t xml:space="preserve">su prihodi Općine </w:t>
      </w:r>
      <w:r w:rsidR="0034639E">
        <w:t xml:space="preserve">koji bilježe međugodišnje povećanje od </w:t>
      </w:r>
      <w:r w:rsidR="00B64ECD">
        <w:t>7,05</w:t>
      </w:r>
      <w:r w:rsidR="0034639E">
        <w:t xml:space="preserve">% u odnosu na isto razdoblje </w:t>
      </w:r>
      <w:r w:rsidR="00B64ECD">
        <w:t>prethodne godine</w:t>
      </w:r>
      <w:r w:rsidR="0034639E">
        <w:t xml:space="preserve"> i iznose </w:t>
      </w:r>
      <w:r w:rsidR="00B64ECD" w:rsidRPr="00711D1E">
        <w:rPr>
          <w:b/>
        </w:rPr>
        <w:t>1.766.150,30</w:t>
      </w:r>
      <w:r w:rsidR="0034639E" w:rsidRPr="00711D1E">
        <w:rPr>
          <w:b/>
        </w:rPr>
        <w:t xml:space="preserve"> eura </w:t>
      </w:r>
      <w:r w:rsidR="0034639E">
        <w:t xml:space="preserve">ili </w:t>
      </w:r>
      <w:r w:rsidR="00B64ECD">
        <w:t>83,74</w:t>
      </w:r>
      <w:r w:rsidR="0034639E">
        <w:t xml:space="preserve">% godišnjeg plana. </w:t>
      </w:r>
      <w:r w:rsidR="00E47052" w:rsidRPr="00173EDE">
        <w:t>Odnose se na</w:t>
      </w:r>
      <w:r w:rsidR="00553A1B">
        <w:t xml:space="preserve"> prihode od:</w:t>
      </w:r>
    </w:p>
    <w:p w:rsidR="008D72F7" w:rsidRDefault="008D72F7" w:rsidP="001C0834"/>
    <w:p w:rsidR="001C0834" w:rsidRDefault="00875637" w:rsidP="001C0834">
      <w:r>
        <w:t xml:space="preserve">a) </w:t>
      </w:r>
      <w:r w:rsidR="00C00DD4" w:rsidRPr="007F6418">
        <w:rPr>
          <w:u w:val="single"/>
        </w:rPr>
        <w:t>poreza na dohodak (611)</w:t>
      </w:r>
      <w:r w:rsidR="00C00DD4" w:rsidRPr="00C00DD4">
        <w:t xml:space="preserve"> </w:t>
      </w:r>
      <w:r w:rsidR="00261E8F">
        <w:t xml:space="preserve">koji </w:t>
      </w:r>
      <w:r w:rsidR="0034639E">
        <w:t>su ostvareni u iznosu od</w:t>
      </w:r>
      <w:r w:rsidR="00C00DD4" w:rsidRPr="00C00DD4">
        <w:t xml:space="preserve"> </w:t>
      </w:r>
      <w:r w:rsidR="0032245D">
        <w:t>1.400.749,94</w:t>
      </w:r>
      <w:r w:rsidR="00C00DD4" w:rsidRPr="00C00DD4">
        <w:t xml:space="preserve"> </w:t>
      </w:r>
      <w:r w:rsidR="00E41E5B">
        <w:t>eura</w:t>
      </w:r>
      <w:r w:rsidR="00C00DD4" w:rsidRPr="00C00DD4">
        <w:t xml:space="preserve"> i veći su za </w:t>
      </w:r>
      <w:r w:rsidR="0032245D">
        <w:t>19,57</w:t>
      </w:r>
      <w:r w:rsidR="00C00DD4" w:rsidRPr="00C00DD4">
        <w:t>%</w:t>
      </w:r>
      <w:r w:rsidR="00EC6E9D">
        <w:t xml:space="preserve"> od prihoda ostvarenih u istom razdoblju prethodne godine</w:t>
      </w:r>
      <w:r w:rsidR="00553A1B">
        <w:t>,</w:t>
      </w:r>
      <w:r w:rsidR="00E47052">
        <w:t xml:space="preserve"> </w:t>
      </w:r>
      <w:r w:rsidR="0034639E">
        <w:t>kada su iznosili</w:t>
      </w:r>
      <w:r w:rsidR="00E47052">
        <w:t xml:space="preserve"> </w:t>
      </w:r>
      <w:r w:rsidR="0032245D">
        <w:t>1.171.471,96</w:t>
      </w:r>
      <w:r w:rsidR="00E41E5B">
        <w:t xml:space="preserve"> </w:t>
      </w:r>
      <w:r w:rsidR="00E47052">
        <w:t>eura.</w:t>
      </w:r>
    </w:p>
    <w:p w:rsidR="00553A1B" w:rsidRDefault="00553A1B" w:rsidP="00553A1B">
      <w:pPr>
        <w:rPr>
          <w:lang w:val="de-DE"/>
        </w:rPr>
      </w:pPr>
    </w:p>
    <w:p w:rsidR="004861E4" w:rsidRDefault="00875637" w:rsidP="00726269">
      <w:r>
        <w:t>b)</w:t>
      </w:r>
      <w:r w:rsidR="001C0834">
        <w:t xml:space="preserve"> </w:t>
      </w:r>
      <w:r w:rsidR="00C00DD4" w:rsidRPr="007F6418">
        <w:rPr>
          <w:u w:val="single"/>
        </w:rPr>
        <w:t>porez</w:t>
      </w:r>
      <w:r w:rsidR="00261E8F" w:rsidRPr="007F6418">
        <w:rPr>
          <w:u w:val="single"/>
        </w:rPr>
        <w:t>a</w:t>
      </w:r>
      <w:r w:rsidR="00C00DD4" w:rsidRPr="007F6418">
        <w:rPr>
          <w:u w:val="single"/>
        </w:rPr>
        <w:t xml:space="preserve"> na imovinu (613)</w:t>
      </w:r>
      <w:r w:rsidR="00C00DD4" w:rsidRPr="00C00DD4">
        <w:t xml:space="preserve"> </w:t>
      </w:r>
      <w:r w:rsidR="00261E8F">
        <w:t xml:space="preserve">koji </w:t>
      </w:r>
      <w:r w:rsidR="00EE5FC6">
        <w:t>su ostvareni u iznosu od</w:t>
      </w:r>
      <w:r w:rsidR="00C00DD4" w:rsidRPr="00C00DD4">
        <w:t xml:space="preserve"> </w:t>
      </w:r>
      <w:r w:rsidR="0032245D">
        <w:t>319.382,81</w:t>
      </w:r>
      <w:r w:rsidR="00E41E5B">
        <w:t xml:space="preserve"> eura</w:t>
      </w:r>
      <w:r w:rsidR="00C00DD4" w:rsidRPr="00C00DD4">
        <w:t xml:space="preserve"> i </w:t>
      </w:r>
      <w:r w:rsidR="00AE07DA">
        <w:t>manji</w:t>
      </w:r>
      <w:r w:rsidR="00C00DD4" w:rsidRPr="00C00DD4">
        <w:t xml:space="preserve"> su za </w:t>
      </w:r>
      <w:r w:rsidR="0032245D">
        <w:t>26,82</w:t>
      </w:r>
      <w:r w:rsidR="00C00DD4" w:rsidRPr="00C00DD4">
        <w:t>%</w:t>
      </w:r>
      <w:r w:rsidR="002A1B62" w:rsidRPr="002A1B62">
        <w:t xml:space="preserve"> </w:t>
      </w:r>
      <w:r w:rsidR="002A1B62">
        <w:t>od prihoda ostvarenih u istom razdoblju prethodne godine</w:t>
      </w:r>
      <w:r w:rsidR="00AE07DA">
        <w:t xml:space="preserve">, kada su iznosili </w:t>
      </w:r>
      <w:r w:rsidR="0032245D">
        <w:t>436.455,52</w:t>
      </w:r>
      <w:r w:rsidR="00E41E5B">
        <w:t xml:space="preserve"> </w:t>
      </w:r>
      <w:r w:rsidR="00AE07DA">
        <w:t>eura.</w:t>
      </w:r>
      <w:r w:rsidR="002A1B62" w:rsidRPr="00C00DD4">
        <w:t xml:space="preserve"> </w:t>
      </w:r>
      <w:r w:rsidR="00C00DD4">
        <w:t>Porezi na imovinu</w:t>
      </w:r>
      <w:r w:rsidR="00DB18A4">
        <w:t xml:space="preserve"> dijele</w:t>
      </w:r>
      <w:r w:rsidR="00C00DD4">
        <w:t xml:space="preserve"> se na</w:t>
      </w:r>
      <w:r w:rsidR="004861E4">
        <w:t>:</w:t>
      </w:r>
    </w:p>
    <w:p w:rsidR="00DB18A4" w:rsidRDefault="00DB18A4" w:rsidP="0076533D">
      <w:pPr>
        <w:pStyle w:val="ListParagraph"/>
        <w:numPr>
          <w:ilvl w:val="0"/>
          <w:numId w:val="12"/>
        </w:numPr>
      </w:pPr>
      <w:r w:rsidRPr="008C3CD7">
        <w:rPr>
          <w:i/>
        </w:rPr>
        <w:t>6131 Stalni porezi na nepokretnu imovinu</w:t>
      </w:r>
      <w:r>
        <w:t xml:space="preserve"> -</w:t>
      </w:r>
      <w:r w:rsidR="006247E1">
        <w:t xml:space="preserve"> manji su za 58,76% u odnosu na godinu ranije.</w:t>
      </w:r>
      <w:r>
        <w:t xml:space="preserve"> </w:t>
      </w:r>
      <w:r w:rsidR="006247E1">
        <w:t>O</w:t>
      </w:r>
      <w:r>
        <w:t xml:space="preserve">stvareni su u </w:t>
      </w:r>
      <w:r w:rsidR="0032245D">
        <w:t xml:space="preserve">ukupnom </w:t>
      </w:r>
      <w:r>
        <w:t xml:space="preserve">iznosu od </w:t>
      </w:r>
      <w:r w:rsidR="0032245D">
        <w:t xml:space="preserve">100.793,89 </w:t>
      </w:r>
      <w:r w:rsidR="00E41E5B">
        <w:t>eura</w:t>
      </w:r>
      <w:r w:rsidR="00AE07DA">
        <w:t xml:space="preserve"> </w:t>
      </w:r>
      <w:r w:rsidR="008C3CD7">
        <w:t>(</w:t>
      </w:r>
      <w:r w:rsidR="00AE07DA">
        <w:t>prethodne godine</w:t>
      </w:r>
      <w:r w:rsidR="008C3CD7">
        <w:t xml:space="preserve"> su</w:t>
      </w:r>
      <w:r w:rsidR="00AE07DA">
        <w:t xml:space="preserve"> iznosili </w:t>
      </w:r>
      <w:r w:rsidR="0032245D">
        <w:t>244.393,24</w:t>
      </w:r>
      <w:r w:rsidR="00E41E5B">
        <w:t xml:space="preserve"> eura</w:t>
      </w:r>
      <w:r w:rsidR="008C3CD7">
        <w:t>)</w:t>
      </w:r>
      <w:r w:rsidR="00AE07DA">
        <w:t>.</w:t>
      </w:r>
      <w:r>
        <w:t xml:space="preserve"> </w:t>
      </w:r>
      <w:r w:rsidR="00EE5FC6">
        <w:t>To su prihodi od</w:t>
      </w:r>
      <w:r w:rsidR="00C00DD4">
        <w:t xml:space="preserve"> porez</w:t>
      </w:r>
      <w:r w:rsidR="00EE5FC6">
        <w:t>a</w:t>
      </w:r>
      <w:r w:rsidR="00C00DD4">
        <w:t xml:space="preserve"> na korištenje javnih površina</w:t>
      </w:r>
      <w:r>
        <w:t xml:space="preserve"> (</w:t>
      </w:r>
      <w:r w:rsidR="0032245D">
        <w:t>55.676,12</w:t>
      </w:r>
      <w:r w:rsidR="00E41E5B">
        <w:t xml:space="preserve"> eura</w:t>
      </w:r>
      <w:r>
        <w:t>)</w:t>
      </w:r>
      <w:r w:rsidR="0032245D">
        <w:t>,</w:t>
      </w:r>
      <w:r w:rsidR="00C00DD4">
        <w:t xml:space="preserve"> porez</w:t>
      </w:r>
      <w:r w:rsidR="00EE5FC6">
        <w:t>a</w:t>
      </w:r>
      <w:r w:rsidR="00C00DD4">
        <w:t xml:space="preserve"> na kuće za odmor</w:t>
      </w:r>
      <w:r>
        <w:t xml:space="preserve"> </w:t>
      </w:r>
      <w:r w:rsidR="00BE4ACC">
        <w:t xml:space="preserve">po Rješenjima iz prethodnih godina </w:t>
      </w:r>
      <w:r>
        <w:t>(</w:t>
      </w:r>
      <w:r w:rsidR="0032245D">
        <w:t>18.154,84</w:t>
      </w:r>
      <w:r w:rsidR="00E41E5B">
        <w:t xml:space="preserve"> eura</w:t>
      </w:r>
      <w:r>
        <w:t>)</w:t>
      </w:r>
      <w:r w:rsidR="0032245D">
        <w:t xml:space="preserve"> i poreza na nekretnine 26.962,93 eura).</w:t>
      </w:r>
    </w:p>
    <w:p w:rsidR="003A379E" w:rsidRDefault="003A379E" w:rsidP="003A379E">
      <w:pPr>
        <w:rPr>
          <w:lang w:val="de-DE"/>
        </w:rPr>
      </w:pPr>
    </w:p>
    <w:p w:rsidR="00BE4ACC" w:rsidRDefault="00EE2B95" w:rsidP="003A379E">
      <w:pPr>
        <w:rPr>
          <w:i/>
          <w:lang w:val="de-DE"/>
        </w:rPr>
      </w:pPr>
      <w:r w:rsidRPr="00EE2B95">
        <w:rPr>
          <w:i/>
        </w:rPr>
        <w:t>Stalne poreze regulira Zakon o lokalnim porezima</w:t>
      </w:r>
      <w:r w:rsidRPr="00EE2B95">
        <w:rPr>
          <w:i/>
          <w:lang w:val="de-DE"/>
        </w:rPr>
        <w:t xml:space="preserve">. </w:t>
      </w:r>
      <w:r w:rsidR="003A379E" w:rsidRPr="00EE2B95">
        <w:rPr>
          <w:i/>
          <w:lang w:val="de-DE"/>
        </w:rPr>
        <w:t>Odlukom o porezima Općine Vela Luka (Službeni glasnik Općine Vela Luka broj 04/25</w:t>
      </w:r>
      <w:r w:rsidR="00C45D6D">
        <w:rPr>
          <w:i/>
          <w:lang w:val="de-DE"/>
        </w:rPr>
        <w:t xml:space="preserve"> od 27.02.25.</w:t>
      </w:r>
      <w:r w:rsidR="003A379E" w:rsidRPr="00EE2B95">
        <w:rPr>
          <w:i/>
          <w:lang w:val="de-DE"/>
        </w:rPr>
        <w:t>), koja je stupila na snagu osmi dan od dana objave tj. 08.03.25. sukladno čl. 20. Zakona o lokalnim porezima, ukinut je porez na kuće za odmor, koji se je plaćao u visini od 3,00 eura/m2 korisne površine nekretnine i zamijenio ga je porez na nekretnine od 01.01.2025. godine</w:t>
      </w:r>
      <w:r w:rsidR="00E41E5B" w:rsidRPr="00EE2B95">
        <w:rPr>
          <w:i/>
          <w:lang w:val="de-DE"/>
        </w:rPr>
        <w:t>, koji će se plaćati po istoj cijeni od 3,00 eura/m2</w:t>
      </w:r>
      <w:r w:rsidR="003A379E" w:rsidRPr="00EE2B95">
        <w:rPr>
          <w:i/>
          <w:lang w:val="de-DE"/>
        </w:rPr>
        <w:t xml:space="preserve">. </w:t>
      </w:r>
      <w:r w:rsidR="00BE4ACC">
        <w:rPr>
          <w:i/>
          <w:lang w:val="de-DE"/>
        </w:rPr>
        <w:t>Prihod od poreza na kuće za odmor je bio 100% prihod Općine, dok će se prihod od poreza na nekretnine dijeliti između Općine (80%) i Županije (20%).</w:t>
      </w:r>
    </w:p>
    <w:p w:rsidR="003A379E" w:rsidRDefault="00EE2B95" w:rsidP="003A379E">
      <w:pPr>
        <w:rPr>
          <w:i/>
          <w:lang w:val="de-DE"/>
        </w:rPr>
      </w:pPr>
      <w:r w:rsidRPr="00EE2B95">
        <w:rPr>
          <w:i/>
          <w:lang w:val="de-DE"/>
        </w:rPr>
        <w:t>Člankom 4. spomenute Odluke prenesen je posao utvrđivanja, evidentiranja, nadzora, naplate i ovrhe radi naplate poreza na nekretnine na Ministarstvo financija, Poreznu upravu, Ispostava Korčula.</w:t>
      </w:r>
    </w:p>
    <w:p w:rsidR="00041B5A" w:rsidRDefault="00041B5A" w:rsidP="006247E1"/>
    <w:p w:rsidR="00C45D6D" w:rsidRDefault="008C3CD7" w:rsidP="006247E1">
      <w:r>
        <w:t>Radi usporedivosti podataka navodim sljedeće: p</w:t>
      </w:r>
      <w:r w:rsidR="006247E1">
        <w:t xml:space="preserve">rihod od </w:t>
      </w:r>
      <w:r w:rsidR="006247E1" w:rsidRPr="00B83764">
        <w:t>porez</w:t>
      </w:r>
      <w:r w:rsidR="006247E1">
        <w:t>a</w:t>
      </w:r>
      <w:r w:rsidR="006247E1" w:rsidRPr="00B83764">
        <w:t xml:space="preserve"> na kuć</w:t>
      </w:r>
      <w:r w:rsidR="006247E1">
        <w:t>e</w:t>
      </w:r>
      <w:r w:rsidR="006247E1" w:rsidRPr="00B83764">
        <w:t xml:space="preserve"> za odmor</w:t>
      </w:r>
      <w:r w:rsidR="006247E1">
        <w:t xml:space="preserve"> u 2024. je</w:t>
      </w:r>
      <w:r w:rsidR="006247E1" w:rsidRPr="00B83764">
        <w:t xml:space="preserve"> </w:t>
      </w:r>
      <w:r w:rsidR="006247E1">
        <w:t>iznosio 217.646,12 eura, dok je godinu ranije 2023. iznosio</w:t>
      </w:r>
      <w:r w:rsidR="006247E1" w:rsidRPr="00B83764">
        <w:t xml:space="preserve"> </w:t>
      </w:r>
      <w:r w:rsidR="006247E1">
        <w:t>109.731,62 eura. Prihod po ovoj osnovi je veći</w:t>
      </w:r>
      <w:r w:rsidR="00041B5A">
        <w:t xml:space="preserve"> u 2024.</w:t>
      </w:r>
      <w:r w:rsidR="006247E1">
        <w:t xml:space="preserve"> iz </w:t>
      </w:r>
      <w:r w:rsidR="006247E1">
        <w:lastRenderedPageBreak/>
        <w:t xml:space="preserve">razloga što je u 2024. veći broj izdanih rješenja i veći iznos poreza na kuću za odmor po metru kvadratnom, koji se povećao s 1,99 eura (2023.) na 3,00 eura/m2 (2024.). </w:t>
      </w:r>
    </w:p>
    <w:p w:rsidR="00C45D6D" w:rsidRDefault="00C45D6D" w:rsidP="00C45D6D">
      <w:r>
        <w:t>U 2025. je prihod od poreza na kuće za odmor ostvaren u iznosu od 18.154,84 eura i odnosio se je na plaćanje dugovanja od ranijih godina. Isti je ukinut od 2025. a zamjenio ga je porez na nekretnine.</w:t>
      </w:r>
    </w:p>
    <w:p w:rsidR="00C45D6D" w:rsidRDefault="00C45D6D" w:rsidP="006247E1"/>
    <w:p w:rsidR="006247E1" w:rsidRDefault="006247E1" w:rsidP="006247E1">
      <w:r>
        <w:t>Radi</w:t>
      </w:r>
      <w:r w:rsidR="00CE0CB5">
        <w:t xml:space="preserve"> izmjene Zakona o lokalnim porezima i uvođenja poreza na nekretnine umjesto poreza na kuće za odmor,</w:t>
      </w:r>
      <w:r>
        <w:t xml:space="preserve"> </w:t>
      </w:r>
      <w:r w:rsidR="00041B5A">
        <w:t xml:space="preserve">kao i </w:t>
      </w:r>
      <w:r>
        <w:t>usklađivanja podataka u našoj bazi s katastrom</w:t>
      </w:r>
      <w:r w:rsidR="00041B5A">
        <w:t xml:space="preserve"> (DGU)</w:t>
      </w:r>
      <w:r>
        <w:t xml:space="preserve"> </w:t>
      </w:r>
      <w:r w:rsidR="008C3CD7">
        <w:t>te</w:t>
      </w:r>
      <w:r>
        <w:t xml:space="preserve"> prijenosa naše baze obveznika plaćanja komunalne naknade i poreza na kuće za odmor Poreznoj upravi, kasnilo se sa zaduženjem poreza na nekretnine za 2025.</w:t>
      </w:r>
      <w:r w:rsidR="00CE0CB5">
        <w:t xml:space="preserve"> </w:t>
      </w:r>
      <w:r w:rsidR="00041B5A">
        <w:t>R</w:t>
      </w:r>
      <w:r w:rsidR="00CE0CB5">
        <w:t>azlog smanjenja prihoda po toj osnovi</w:t>
      </w:r>
      <w:r w:rsidR="00041B5A">
        <w:t xml:space="preserve"> je što to više nije naš prihod u 100% iznosu, već 80% k</w:t>
      </w:r>
      <w:r w:rsidR="00CE0CB5">
        <w:t>ao i činjenica da nisu svim obveznicima poslana rješenja u 2025. godini</w:t>
      </w:r>
      <w:r w:rsidR="00041B5A">
        <w:t xml:space="preserve">. </w:t>
      </w:r>
      <w:r w:rsidR="00CE0CB5">
        <w:t xml:space="preserve">Porezna uprava </w:t>
      </w:r>
      <w:r w:rsidR="00041B5A">
        <w:t xml:space="preserve">je </w:t>
      </w:r>
      <w:r w:rsidR="00CE0CB5">
        <w:t>tada najavila da će nastaviti slati rješenja porez</w:t>
      </w:r>
      <w:r w:rsidR="00041B5A">
        <w:t>a</w:t>
      </w:r>
      <w:r w:rsidR="00CE0CB5">
        <w:t xml:space="preserve"> na nekretnine za 2025. i u 2026. godini. </w:t>
      </w:r>
    </w:p>
    <w:p w:rsidR="00490F69" w:rsidRDefault="00490F69" w:rsidP="00726269"/>
    <w:p w:rsidR="00D61726" w:rsidRDefault="00490F69" w:rsidP="00726269">
      <w:r>
        <w:t>Prema izvješću Porezne uprave, stanje nenaplaćenih potraživanja po osnovi poreza na nekretnine na dan 31. prosinca 2025. godine je 19.396,32 eura.</w:t>
      </w:r>
    </w:p>
    <w:p w:rsidR="00490F69" w:rsidRDefault="00490F69" w:rsidP="00726269"/>
    <w:p w:rsidR="00DB18A4" w:rsidRDefault="00DB18A4" w:rsidP="0076533D">
      <w:pPr>
        <w:pStyle w:val="ListParagraph"/>
        <w:numPr>
          <w:ilvl w:val="0"/>
          <w:numId w:val="12"/>
        </w:numPr>
      </w:pPr>
      <w:r w:rsidRPr="008C3CD7">
        <w:rPr>
          <w:i/>
        </w:rPr>
        <w:t>6134 Povremeni porezi na imovinu</w:t>
      </w:r>
      <w:r>
        <w:t xml:space="preserve"> - to je </w:t>
      </w:r>
      <w:r w:rsidR="00C00DD4">
        <w:t>porez na promet nekretnina</w:t>
      </w:r>
      <w:r>
        <w:t xml:space="preserve"> koji je ostvaren u iznosu od </w:t>
      </w:r>
      <w:r w:rsidR="00041B5A">
        <w:t>218.588,92</w:t>
      </w:r>
      <w:r w:rsidR="00E41E5B">
        <w:t xml:space="preserve"> eura</w:t>
      </w:r>
      <w:r w:rsidR="00B117E1">
        <w:t xml:space="preserve"> i </w:t>
      </w:r>
      <w:r w:rsidR="00041B5A">
        <w:t>veći</w:t>
      </w:r>
      <w:r w:rsidR="00B117E1">
        <w:t xml:space="preserve"> je za </w:t>
      </w:r>
      <w:r w:rsidR="00041B5A">
        <w:t>13,81</w:t>
      </w:r>
      <w:r w:rsidR="00B117E1">
        <w:t xml:space="preserve">% u odnosu na isto razdoblje prethodne godine kada je po ovoj osnovi bilo uprihodovano </w:t>
      </w:r>
      <w:r w:rsidR="00041B5A">
        <w:t>192.062,28</w:t>
      </w:r>
      <w:r w:rsidR="00E41E5B">
        <w:t xml:space="preserve"> eura</w:t>
      </w:r>
      <w:r w:rsidR="00C00DD4">
        <w:t xml:space="preserve">. </w:t>
      </w:r>
    </w:p>
    <w:p w:rsidR="00D61726" w:rsidRDefault="00D61726" w:rsidP="00726269"/>
    <w:p w:rsidR="00EE2B95" w:rsidRPr="00EE2B95" w:rsidRDefault="00EE2B95" w:rsidP="001C0834">
      <w:pPr>
        <w:rPr>
          <w:i/>
        </w:rPr>
      </w:pPr>
      <w:r w:rsidRPr="00EE2B95">
        <w:rPr>
          <w:i/>
        </w:rPr>
        <w:t>P</w:t>
      </w:r>
      <w:r w:rsidR="00DB18A4" w:rsidRPr="00EE2B95">
        <w:rPr>
          <w:i/>
        </w:rPr>
        <w:t>ovremeni porez</w:t>
      </w:r>
      <w:r w:rsidR="00726269" w:rsidRPr="00EE2B95">
        <w:rPr>
          <w:i/>
        </w:rPr>
        <w:t xml:space="preserve"> propisuje Zakon o porezu na promet nekretnina.</w:t>
      </w:r>
      <w:r w:rsidRPr="00EE2B95">
        <w:rPr>
          <w:i/>
        </w:rPr>
        <w:t xml:space="preserve"> </w:t>
      </w:r>
      <w:r w:rsidR="00855C05" w:rsidRPr="00EE2B95">
        <w:rPr>
          <w:i/>
        </w:rPr>
        <w:t>Porez na promet nekretnina plać</w:t>
      </w:r>
      <w:r w:rsidR="002A1B62" w:rsidRPr="00EE2B95">
        <w:rPr>
          <w:i/>
        </w:rPr>
        <w:t>a se po stopi od</w:t>
      </w:r>
      <w:r w:rsidR="00855C05" w:rsidRPr="00EE2B95">
        <w:rPr>
          <w:i/>
        </w:rPr>
        <w:t xml:space="preserve"> 3% kupoprodajne </w:t>
      </w:r>
      <w:r w:rsidR="002A1B62" w:rsidRPr="00EE2B95">
        <w:rPr>
          <w:i/>
        </w:rPr>
        <w:t xml:space="preserve">(tržišne) </w:t>
      </w:r>
      <w:r w:rsidR="00855C05" w:rsidRPr="00EE2B95">
        <w:rPr>
          <w:i/>
        </w:rPr>
        <w:t>vrijednosti nekretnina</w:t>
      </w:r>
      <w:r w:rsidR="002A1B62" w:rsidRPr="00EE2B95">
        <w:rPr>
          <w:i/>
        </w:rPr>
        <w:t xml:space="preserve"> (čl. 12. Zakona o porezu na promet nekretnina)</w:t>
      </w:r>
      <w:r w:rsidR="00855C05" w:rsidRPr="00EE2B95">
        <w:rPr>
          <w:i/>
        </w:rPr>
        <w:t xml:space="preserve">. </w:t>
      </w:r>
      <w:r w:rsidR="002A1B62" w:rsidRPr="00EE2B95">
        <w:rPr>
          <w:i/>
        </w:rPr>
        <w:t>Porezna uprava utvrđuje osnovicu poreza na promet nekretnina kao tržišnu vrijednost nekretnine, u pravilu, iz isprave o stjecanju, ako je ukupan iznos naknade koju isplaćuje stjecatelj približno</w:t>
      </w:r>
      <w:r w:rsidR="00726269" w:rsidRPr="00EE2B95">
        <w:rPr>
          <w:i/>
        </w:rPr>
        <w:t xml:space="preserve"> </w:t>
      </w:r>
      <w:r w:rsidR="002A1B62" w:rsidRPr="00EE2B95">
        <w:rPr>
          <w:i/>
        </w:rPr>
        <w:t xml:space="preserve">jednak cijenama koje se mogu postići na tržištu. </w:t>
      </w:r>
      <w:r w:rsidR="00855C05" w:rsidRPr="00EE2B95">
        <w:rPr>
          <w:i/>
        </w:rPr>
        <w:t>Rješenj</w:t>
      </w:r>
      <w:r w:rsidR="002A1B62" w:rsidRPr="00EE2B95">
        <w:rPr>
          <w:i/>
        </w:rPr>
        <w:t>e</w:t>
      </w:r>
      <w:r w:rsidR="00855C05" w:rsidRPr="00EE2B95">
        <w:rPr>
          <w:i/>
        </w:rPr>
        <w:t xml:space="preserve"> o razrezu istog izdaje Porezna uprava i obavlja naplatu iako je to 100% prihod Općine.</w:t>
      </w:r>
      <w:r w:rsidR="00C00DD4" w:rsidRPr="00EE2B95">
        <w:rPr>
          <w:i/>
        </w:rPr>
        <w:t xml:space="preserve"> </w:t>
      </w:r>
      <w:r w:rsidR="00D975F8" w:rsidRPr="00EE2B95">
        <w:rPr>
          <w:i/>
        </w:rPr>
        <w:t xml:space="preserve">U skladu s člankom 7. i 8. Pravilnika o uvjetima, opsegu i naknadi za obavljanje poslova utvrđivanja, evidentiranja, nadzora, naplate i ovrhe radi naplate poreza JLP(R)S, Porezna uprava nam dostavlja dva puta godišnje zbirno izvješće o saldu nenaplaćenih potraživanja poreza na promet nekretnina. </w:t>
      </w:r>
    </w:p>
    <w:p w:rsidR="00EE2B95" w:rsidRDefault="00EE2B95" w:rsidP="001C0834"/>
    <w:p w:rsidR="00490F69" w:rsidRDefault="00490F69" w:rsidP="00490F69">
      <w:r>
        <w:t>Stanje nenaplaćenih potraživanja po osnovi poreza na promet nekretnina na dan 31. prosinca 2025. godine je 32.529,04 eura, dok je na dan 31.12.2024. bilo 62.460,05 eura.</w:t>
      </w:r>
    </w:p>
    <w:p w:rsidR="00C45D6D" w:rsidRDefault="00C45D6D" w:rsidP="001C0834"/>
    <w:p w:rsidR="00490F69" w:rsidRDefault="00875637" w:rsidP="00490F69">
      <w:r>
        <w:t>c)</w:t>
      </w:r>
      <w:r w:rsidR="001C0834">
        <w:t xml:space="preserve"> </w:t>
      </w:r>
      <w:r w:rsidR="001C0834" w:rsidRPr="007F6418">
        <w:rPr>
          <w:u w:val="single"/>
        </w:rPr>
        <w:t>porez</w:t>
      </w:r>
      <w:r w:rsidR="00601438" w:rsidRPr="007F6418">
        <w:rPr>
          <w:u w:val="single"/>
        </w:rPr>
        <w:t>a</w:t>
      </w:r>
      <w:r w:rsidR="001C0834" w:rsidRPr="007F6418">
        <w:rPr>
          <w:u w:val="single"/>
        </w:rPr>
        <w:t xml:space="preserve"> na robu i usluge (614)</w:t>
      </w:r>
      <w:r w:rsidR="00601438">
        <w:t xml:space="preserve"> </w:t>
      </w:r>
      <w:r w:rsidR="00DB18A4">
        <w:t>-</w:t>
      </w:r>
      <w:r w:rsidR="001C0834">
        <w:t xml:space="preserve"> </w:t>
      </w:r>
      <w:r w:rsidR="00490F69">
        <w:t>ostvareni su u iznosu od 46.017,55 eura (porez na potrošnju alkoholnih i bezalkoholnih pića), dok su godinu ranije iznosili 41.908,26 eura. Prihod po ovoj osnovi je veći za 9,8</w:t>
      </w:r>
      <w:r w:rsidR="008C3CD7">
        <w:t>1</w:t>
      </w:r>
      <w:r w:rsidR="00490F69">
        <w:t xml:space="preserve"> %.</w:t>
      </w:r>
    </w:p>
    <w:p w:rsidR="003148CA" w:rsidRDefault="003148CA" w:rsidP="00C00DD4">
      <w:pPr>
        <w:rPr>
          <w:u w:val="single"/>
        </w:rPr>
      </w:pPr>
    </w:p>
    <w:p w:rsidR="00EB1DA9" w:rsidRPr="00B83764" w:rsidRDefault="00E065BA" w:rsidP="00EB1DA9">
      <w:r w:rsidRPr="007F6418">
        <w:rPr>
          <w:b/>
          <w:u w:val="single"/>
        </w:rPr>
        <w:t xml:space="preserve">2. </w:t>
      </w:r>
      <w:r w:rsidR="00C00DD4" w:rsidRPr="007F6418">
        <w:rPr>
          <w:b/>
          <w:u w:val="single"/>
        </w:rPr>
        <w:t>Prihod</w:t>
      </w:r>
      <w:r w:rsidR="009B50BC" w:rsidRPr="007F6418">
        <w:rPr>
          <w:b/>
          <w:u w:val="single"/>
        </w:rPr>
        <w:t>i</w:t>
      </w:r>
      <w:r w:rsidR="00C00DD4" w:rsidRPr="007F6418">
        <w:rPr>
          <w:b/>
          <w:u w:val="single"/>
        </w:rPr>
        <w:t xml:space="preserve"> od pomoći iz inozemstva i od subjekata unutar općeg proračuna (63</w:t>
      </w:r>
      <w:r w:rsidR="00C00DD4" w:rsidRPr="007F6418">
        <w:rPr>
          <w:b/>
        </w:rPr>
        <w:t>)</w:t>
      </w:r>
      <w:r w:rsidR="007C4605">
        <w:t xml:space="preserve"> bilježe međugodišnje povećanje od </w:t>
      </w:r>
      <w:r w:rsidR="00443232">
        <w:t>6,32</w:t>
      </w:r>
      <w:r w:rsidR="007C4605">
        <w:t>% u odnosu na isto razdoblje 2024.</w:t>
      </w:r>
      <w:r w:rsidR="00443232">
        <w:t>godine.</w:t>
      </w:r>
      <w:r w:rsidR="007C4605">
        <w:t xml:space="preserve"> </w:t>
      </w:r>
      <w:r w:rsidR="00EB1DA9">
        <w:t>O</w:t>
      </w:r>
      <w:r w:rsidR="00EB1DA9" w:rsidRPr="00B83764">
        <w:t>stvareni su u izvještajnom razdoblju 202</w:t>
      </w:r>
      <w:r w:rsidR="00EB1DA9">
        <w:t>5</w:t>
      </w:r>
      <w:r w:rsidR="00EB1DA9" w:rsidRPr="00B83764">
        <w:t xml:space="preserve">. godine u iznosu od </w:t>
      </w:r>
      <w:r w:rsidR="00EB1DA9">
        <w:rPr>
          <w:b/>
        </w:rPr>
        <w:t>1.277.464,85</w:t>
      </w:r>
      <w:r w:rsidR="00EB1DA9" w:rsidRPr="00C659C5">
        <w:rPr>
          <w:b/>
        </w:rPr>
        <w:t xml:space="preserve"> EUR</w:t>
      </w:r>
      <w:r w:rsidR="00EB1DA9">
        <w:t xml:space="preserve"> (Općina 964.116,44</w:t>
      </w:r>
      <w:r w:rsidR="00EB1DA9" w:rsidRPr="00095401">
        <w:t xml:space="preserve"> EUR</w:t>
      </w:r>
      <w:r w:rsidR="00EB1DA9">
        <w:t xml:space="preserve"> + PK 313.348,41 EUR)</w:t>
      </w:r>
      <w:r w:rsidR="00EB1DA9" w:rsidRPr="00B83764">
        <w:t xml:space="preserve">, dok su godinu ranije iznosili </w:t>
      </w:r>
      <w:r w:rsidR="00EB1DA9" w:rsidRPr="00EB1DA9">
        <w:t>1.201.485,92 EUR</w:t>
      </w:r>
      <w:r w:rsidR="00EB1DA9">
        <w:t xml:space="preserve"> (Općina 1.093.364,44</w:t>
      </w:r>
      <w:r w:rsidR="00EB1DA9" w:rsidRPr="00095401">
        <w:t xml:space="preserve"> EUR</w:t>
      </w:r>
      <w:r w:rsidR="00EB1DA9">
        <w:t xml:space="preserve"> + PK 108.121,48 EUR).</w:t>
      </w:r>
    </w:p>
    <w:p w:rsidR="00B10F4A" w:rsidRDefault="00B10F4A" w:rsidP="00B10F4A">
      <w:r w:rsidRPr="00173EDE">
        <w:t>Dijelimo ih na:</w:t>
      </w:r>
    </w:p>
    <w:p w:rsidR="0036145F" w:rsidRDefault="0036145F" w:rsidP="00B655B2">
      <w:pPr>
        <w:rPr>
          <w:u w:val="single"/>
        </w:rPr>
      </w:pPr>
    </w:p>
    <w:p w:rsidR="00B655B2" w:rsidRDefault="00B655B2" w:rsidP="00B655B2">
      <w:r w:rsidRPr="00DE1AC9">
        <w:rPr>
          <w:u w:val="single"/>
        </w:rPr>
        <w:t xml:space="preserve">2.1. Pomoći proračunu </w:t>
      </w:r>
      <w:r w:rsidR="0003725E">
        <w:rPr>
          <w:u w:val="single"/>
        </w:rPr>
        <w:t xml:space="preserve">i izvanproračunskim korisnicima </w:t>
      </w:r>
      <w:r w:rsidRPr="00DE1AC9">
        <w:rPr>
          <w:u w:val="single"/>
        </w:rPr>
        <w:t>iz drugih proračuna (633)</w:t>
      </w:r>
      <w:r>
        <w:t xml:space="preserve"> u 2025. godini su iznosile 548.528,41 eura, a dijele se na tekuće i kapitalne, kako slijedi:</w:t>
      </w:r>
    </w:p>
    <w:p w:rsidR="00B655B2" w:rsidRDefault="00B655B2" w:rsidP="00B10F4A"/>
    <w:p w:rsidR="00B655B2" w:rsidRDefault="00B655B2" w:rsidP="00B655B2">
      <w:r w:rsidRPr="00B83764">
        <w:t>a) Tekuće pomoći proračunu iz drugih proračuna – 6331, u 202</w:t>
      </w:r>
      <w:r w:rsidR="0003725E">
        <w:t>5</w:t>
      </w:r>
      <w:r w:rsidRPr="00B83764">
        <w:t xml:space="preserve">. godini ostvarene su u ukupnom iznosu od </w:t>
      </w:r>
      <w:r w:rsidR="0003725E">
        <w:t>167.694,13</w:t>
      </w:r>
      <w:r>
        <w:t xml:space="preserve"> eura (Općina </w:t>
      </w:r>
      <w:r w:rsidR="0003725E">
        <w:t>160.280,00</w:t>
      </w:r>
      <w:r>
        <w:t xml:space="preserve"> eura + PK </w:t>
      </w:r>
      <w:r w:rsidR="0003725E">
        <w:t>7.414,13</w:t>
      </w:r>
      <w:r>
        <w:t xml:space="preserve"> eura).</w:t>
      </w:r>
    </w:p>
    <w:p w:rsidR="0003725E" w:rsidRDefault="0003725E" w:rsidP="0003725E"/>
    <w:p w:rsidR="0003725E" w:rsidRPr="00B83764" w:rsidRDefault="0003725E" w:rsidP="0003725E">
      <w:r>
        <w:t xml:space="preserve">a1) Općina je ostvarila prihod u iznosu od </w:t>
      </w:r>
      <w:r>
        <w:rPr>
          <w:u w:val="single"/>
        </w:rPr>
        <w:t>160.280,00</w:t>
      </w:r>
      <w:r w:rsidRPr="001D2DB4">
        <w:rPr>
          <w:u w:val="single"/>
        </w:rPr>
        <w:t xml:space="preserve"> eura</w:t>
      </w:r>
      <w:r>
        <w:t xml:space="preserve"> koji se sastoji od:</w:t>
      </w:r>
    </w:p>
    <w:p w:rsidR="00B655B2" w:rsidRDefault="00B655B2" w:rsidP="00B655B2"/>
    <w:p w:rsidR="0003725E" w:rsidRDefault="0003725E" w:rsidP="0003725E">
      <w:r>
        <w:t xml:space="preserve">- pomoći iz drž. proračuna za financiranje fiskalne održivosti dječjeg vrtića 153.780,00 </w:t>
      </w:r>
      <w:r w:rsidR="0036145F">
        <w:t>eura</w:t>
      </w:r>
      <w:r>
        <w:t>,</w:t>
      </w:r>
    </w:p>
    <w:p w:rsidR="0003725E" w:rsidRDefault="0003725E" w:rsidP="0003725E">
      <w:r>
        <w:t>- tekuće pomoći iz županijskog proračuna ostvarene su u iznosu od 6.500,00 eura (za manifestaciju „Trag u beskraju“ 5.300,00 eura i za Stajun od lumblije 1.200,00 eura).</w:t>
      </w:r>
    </w:p>
    <w:p w:rsidR="00B655B2" w:rsidRDefault="00B655B2" w:rsidP="00B655B2"/>
    <w:p w:rsidR="0036145F" w:rsidRDefault="0036145F" w:rsidP="00B655B2"/>
    <w:p w:rsidR="00B655B2" w:rsidRDefault="00B655B2" w:rsidP="00B655B2">
      <w:pPr>
        <w:rPr>
          <w:u w:val="single"/>
        </w:rPr>
      </w:pPr>
      <w:r>
        <w:lastRenderedPageBreak/>
        <w:t xml:space="preserve">a2) Proračunski korisnici su ostvarili prihod od </w:t>
      </w:r>
      <w:r w:rsidR="0003725E">
        <w:rPr>
          <w:u w:val="single"/>
        </w:rPr>
        <w:t>7.414,13</w:t>
      </w:r>
      <w:r w:rsidRPr="001D2DB4">
        <w:rPr>
          <w:u w:val="single"/>
        </w:rPr>
        <w:t xml:space="preserve"> eura</w:t>
      </w:r>
      <w:r>
        <w:t xml:space="preserve"> kako slijedi:</w:t>
      </w:r>
      <w:r w:rsidRPr="00B91EAD">
        <w:rPr>
          <w:u w:val="single"/>
        </w:rPr>
        <w:t xml:space="preserve"> </w:t>
      </w:r>
    </w:p>
    <w:p w:rsidR="00B655B2" w:rsidRDefault="00B655B2" w:rsidP="00B655B2">
      <w:pPr>
        <w:rPr>
          <w:u w:val="single"/>
        </w:rPr>
      </w:pPr>
    </w:p>
    <w:p w:rsidR="00B655B2" w:rsidRPr="00AC63D4" w:rsidRDefault="00B655B2" w:rsidP="00B655B2">
      <w:r>
        <w:rPr>
          <w:u w:val="single"/>
        </w:rPr>
        <w:t xml:space="preserve">- </w:t>
      </w:r>
      <w:r w:rsidRPr="00AC63D4">
        <w:rPr>
          <w:u w:val="single"/>
        </w:rPr>
        <w:t xml:space="preserve"> Knjižnica</w:t>
      </w:r>
      <w:r w:rsidRPr="00AC63D4">
        <w:t xml:space="preserve"> je ostvarila prihod od </w:t>
      </w:r>
      <w:r>
        <w:t>1.</w:t>
      </w:r>
      <w:r w:rsidR="0003725E">
        <w:t>800</w:t>
      </w:r>
      <w:r>
        <w:t>,00 eura</w:t>
      </w:r>
      <w:r w:rsidRPr="00AD6DF6">
        <w:t>,</w:t>
      </w:r>
      <w:r w:rsidRPr="00AC63D4">
        <w:t xml:space="preserve"> a sastoji se od: </w:t>
      </w:r>
    </w:p>
    <w:p w:rsidR="00B655B2" w:rsidRPr="00AC63D4" w:rsidRDefault="00B655B2" w:rsidP="00B655B2">
      <w:r w:rsidRPr="00AC63D4">
        <w:t>- pomoći iz državnog proračuna</w:t>
      </w:r>
      <w:r>
        <w:t xml:space="preserve"> (Ministarstvo kulture i medija)</w:t>
      </w:r>
      <w:r w:rsidRPr="00AC63D4">
        <w:t xml:space="preserve"> u iznosu od </w:t>
      </w:r>
      <w:r w:rsidR="0003725E">
        <w:t>1.2</w:t>
      </w:r>
      <w:r>
        <w:t>00,00 eura</w:t>
      </w:r>
      <w:r w:rsidRPr="00AC63D4">
        <w:t xml:space="preserve"> za manifestaciju „Dani Šime Vučetića“</w:t>
      </w:r>
      <w:r>
        <w:t xml:space="preserve"> i književne susrete</w:t>
      </w:r>
      <w:r w:rsidRPr="00AC63D4">
        <w:t>,</w:t>
      </w:r>
    </w:p>
    <w:p w:rsidR="00B655B2" w:rsidRDefault="00B655B2" w:rsidP="00B655B2">
      <w:r w:rsidRPr="00AC63D4">
        <w:t xml:space="preserve">- pomoći iz županijskog proračuna u iznosu od </w:t>
      </w:r>
      <w:r w:rsidR="0003725E">
        <w:t>600</w:t>
      </w:r>
      <w:r>
        <w:t>,00 eura</w:t>
      </w:r>
      <w:r w:rsidRPr="00AC63D4">
        <w:t xml:space="preserve"> za književne susrete </w:t>
      </w:r>
      <w:r>
        <w:t>i</w:t>
      </w:r>
      <w:r w:rsidRPr="00AC63D4">
        <w:t xml:space="preserve"> </w:t>
      </w:r>
      <w:r w:rsidR="0003725E">
        <w:t>kreativne radionice</w:t>
      </w:r>
      <w:r w:rsidRPr="00AC63D4">
        <w:t>.</w:t>
      </w:r>
    </w:p>
    <w:p w:rsidR="00B655B2" w:rsidRPr="00AC63D4" w:rsidRDefault="00B655B2" w:rsidP="00B655B2"/>
    <w:p w:rsidR="00606057" w:rsidRDefault="00B655B2" w:rsidP="00B655B2">
      <w:r>
        <w:rPr>
          <w:u w:val="single"/>
        </w:rPr>
        <w:t>-</w:t>
      </w:r>
      <w:r w:rsidRPr="00AC63D4">
        <w:rPr>
          <w:u w:val="single"/>
        </w:rPr>
        <w:t xml:space="preserve"> Centar za kulturu </w:t>
      </w:r>
      <w:r w:rsidRPr="00AC63D4">
        <w:t xml:space="preserve"> je ostvario prihod </w:t>
      </w:r>
      <w:r>
        <w:t xml:space="preserve">od </w:t>
      </w:r>
      <w:r w:rsidR="00606057">
        <w:t>4.500,00 eura</w:t>
      </w:r>
      <w:r>
        <w:t>, kako slijedi:</w:t>
      </w:r>
      <w:r w:rsidRPr="00AC63D4">
        <w:t xml:space="preserve"> </w:t>
      </w:r>
    </w:p>
    <w:p w:rsidR="00606057" w:rsidRDefault="00606057" w:rsidP="00B655B2">
      <w:r>
        <w:t xml:space="preserve">- </w:t>
      </w:r>
      <w:r w:rsidR="00B655B2" w:rsidRPr="00AC63D4">
        <w:t xml:space="preserve">za </w:t>
      </w:r>
      <w:r w:rsidR="00B655B2">
        <w:t>manifestaciju Trag u beskraju</w:t>
      </w:r>
      <w:r>
        <w:t xml:space="preserve"> - sjećanje na Olivera Dragojevića</w:t>
      </w:r>
      <w:r w:rsidR="00B655B2">
        <w:t xml:space="preserve"> 4.000,00 eura, </w:t>
      </w:r>
    </w:p>
    <w:p w:rsidR="00B655B2" w:rsidRDefault="00606057" w:rsidP="00B655B2">
      <w:r>
        <w:t>- za financiranje programa Dani Vele Spile</w:t>
      </w:r>
      <w:r w:rsidR="00B655B2">
        <w:t xml:space="preserve"> </w:t>
      </w:r>
      <w:r>
        <w:t>5</w:t>
      </w:r>
      <w:r w:rsidR="00B655B2">
        <w:t>00,00 eura.</w:t>
      </w:r>
    </w:p>
    <w:p w:rsidR="00B655B2" w:rsidRDefault="00B655B2" w:rsidP="00B655B2"/>
    <w:p w:rsidR="00606057" w:rsidRDefault="00B655B2" w:rsidP="00B655B2">
      <w:r>
        <w:rPr>
          <w:u w:val="single"/>
        </w:rPr>
        <w:t>-</w:t>
      </w:r>
      <w:r w:rsidRPr="00AC63D4">
        <w:rPr>
          <w:u w:val="single"/>
        </w:rPr>
        <w:t xml:space="preserve"> DV Radost</w:t>
      </w:r>
      <w:r w:rsidRPr="00AC63D4">
        <w:t xml:space="preserve"> je ostvario prihod od</w:t>
      </w:r>
      <w:r>
        <w:t xml:space="preserve"> tekućih pomoći iz državnog proračuna u iznosu od</w:t>
      </w:r>
      <w:r w:rsidRPr="00AC63D4">
        <w:t xml:space="preserve"> </w:t>
      </w:r>
      <w:r w:rsidR="00606057">
        <w:t>1.114,13</w:t>
      </w:r>
      <w:r>
        <w:t xml:space="preserve"> eura i to</w:t>
      </w:r>
      <w:r w:rsidR="00001C71">
        <w:t>:</w:t>
      </w:r>
      <w:r>
        <w:t xml:space="preserve"> </w:t>
      </w:r>
    </w:p>
    <w:p w:rsidR="00606057" w:rsidRDefault="00606057" w:rsidP="00B655B2">
      <w:r>
        <w:t xml:space="preserve">- </w:t>
      </w:r>
      <w:r w:rsidR="00B655B2" w:rsidRPr="00AC63D4">
        <w:t xml:space="preserve">za potrebe rada s djecom predškolske dobi u iznosu od </w:t>
      </w:r>
      <w:r>
        <w:t>902,13</w:t>
      </w:r>
      <w:r w:rsidR="00B655B2">
        <w:t xml:space="preserve"> eura</w:t>
      </w:r>
      <w:r w:rsidR="00B655B2" w:rsidRPr="00AC63D4">
        <w:t xml:space="preserve"> i </w:t>
      </w:r>
    </w:p>
    <w:p w:rsidR="00001C71" w:rsidRDefault="00606057" w:rsidP="00B655B2">
      <w:r>
        <w:t xml:space="preserve">- </w:t>
      </w:r>
      <w:r w:rsidR="00B655B2" w:rsidRPr="00AC63D4">
        <w:t xml:space="preserve">za integraciju djece s teškoćama u razvoju u iznosu od </w:t>
      </w:r>
      <w:r>
        <w:t>21</w:t>
      </w:r>
      <w:r w:rsidR="00B655B2">
        <w:t>2,00 eura</w:t>
      </w:r>
      <w:r w:rsidR="00B655B2" w:rsidRPr="00AC63D4">
        <w:t xml:space="preserve">. </w:t>
      </w:r>
    </w:p>
    <w:p w:rsidR="00B655B2" w:rsidRPr="00AC63D4" w:rsidRDefault="00B655B2" w:rsidP="00B655B2">
      <w:r>
        <w:t>Iznos odobrenih sredstava ovisi o broju upisanih predškolaca, odnosno o broju djece s posebnim potrebama.</w:t>
      </w:r>
    </w:p>
    <w:p w:rsidR="00B655B2" w:rsidRPr="00AC63D4" w:rsidRDefault="00B655B2" w:rsidP="00B655B2">
      <w:r w:rsidRPr="00AC63D4">
        <w:t>Sredstva su namjenski utrošena</w:t>
      </w:r>
      <w:r>
        <w:t xml:space="preserve"> na didaktički materijal i materijal za rad s djecom</w:t>
      </w:r>
      <w:r w:rsidRPr="00AC63D4">
        <w:t>.</w:t>
      </w:r>
    </w:p>
    <w:p w:rsidR="00B655B2" w:rsidRDefault="00B655B2" w:rsidP="00B655B2"/>
    <w:p w:rsidR="00B655B2" w:rsidRDefault="00B655B2" w:rsidP="00B655B2">
      <w:r w:rsidRPr="00B83764">
        <w:t>b) Kapitalne pomoći proračunu iz drugih proračuna – 6332, u 202</w:t>
      </w:r>
      <w:r w:rsidR="00001C71">
        <w:t>5</w:t>
      </w:r>
      <w:r w:rsidRPr="00B83764">
        <w:t xml:space="preserve">. godini ostvarene su u ukupnom iznosu od </w:t>
      </w:r>
      <w:r w:rsidR="00001C71">
        <w:t>380.834,28</w:t>
      </w:r>
      <w:r>
        <w:t xml:space="preserve"> eura (Općina </w:t>
      </w:r>
      <w:r w:rsidR="00001C71">
        <w:t>74.900,00</w:t>
      </w:r>
      <w:r>
        <w:t xml:space="preserve"> eura + PK </w:t>
      </w:r>
      <w:r w:rsidR="00001C71">
        <w:t>305.934,28</w:t>
      </w:r>
      <w:r>
        <w:t xml:space="preserve"> eura).</w:t>
      </w:r>
    </w:p>
    <w:p w:rsidR="00B655B2" w:rsidRDefault="00B655B2" w:rsidP="00B655B2"/>
    <w:p w:rsidR="00B655B2" w:rsidRDefault="00B655B2" w:rsidP="00B655B2">
      <w:r>
        <w:t xml:space="preserve">b1) Općina je ostvarila prihod od kapitalnih pomoći u iznosu od </w:t>
      </w:r>
      <w:r w:rsidR="00001C71">
        <w:rPr>
          <w:u w:val="single"/>
        </w:rPr>
        <w:t xml:space="preserve">74.900,00 </w:t>
      </w:r>
      <w:r>
        <w:rPr>
          <w:u w:val="single"/>
        </w:rPr>
        <w:t>eura</w:t>
      </w:r>
      <w:r w:rsidRPr="00B83764">
        <w:t>, a odnose se na</w:t>
      </w:r>
      <w:r>
        <w:t>:</w:t>
      </w:r>
    </w:p>
    <w:p w:rsidR="00001C71" w:rsidRDefault="00001C71" w:rsidP="00001C71">
      <w:r>
        <w:t>- kapitalnu pomoć u iznosu od 46.400,00 eura od Ministarstva prostornog uređenja, graditeljstva i državne imovine namijenjenu za održavanje ceste Duža-Kruševo (sredstva su namjenski potrošena),</w:t>
      </w:r>
    </w:p>
    <w:p w:rsidR="00001C71" w:rsidRDefault="00001C71" w:rsidP="00001C71">
      <w:r>
        <w:t>- kapitalnu pomoć u iznosu od 28.500,00 eura od MRRIFEU za uređenje šetnica (sredstva su namjenski potrošena).</w:t>
      </w:r>
    </w:p>
    <w:p w:rsidR="00B655B2" w:rsidRDefault="00B655B2" w:rsidP="00B10F4A"/>
    <w:p w:rsidR="00001C71" w:rsidRDefault="00001C71" w:rsidP="00001C71">
      <w:pPr>
        <w:rPr>
          <w:u w:val="single"/>
        </w:rPr>
      </w:pPr>
      <w:r>
        <w:t xml:space="preserve">b2) Proračunski korisnici su ostvarili prihod od </w:t>
      </w:r>
      <w:r>
        <w:rPr>
          <w:u w:val="single"/>
        </w:rPr>
        <w:t>305.934,28 eura</w:t>
      </w:r>
      <w:r>
        <w:t xml:space="preserve"> kako slijedi:</w:t>
      </w:r>
      <w:r w:rsidRPr="00B91EAD">
        <w:rPr>
          <w:u w:val="single"/>
        </w:rPr>
        <w:t xml:space="preserve"> </w:t>
      </w:r>
    </w:p>
    <w:p w:rsidR="00001C71" w:rsidRDefault="00001C71" w:rsidP="00001C71"/>
    <w:p w:rsidR="00001C71" w:rsidRDefault="00001C71" w:rsidP="00001C71">
      <w:r>
        <w:t>-</w:t>
      </w:r>
      <w:r w:rsidRPr="00AC63D4">
        <w:t xml:space="preserve"> </w:t>
      </w:r>
      <w:r w:rsidRPr="00AC63D4">
        <w:rPr>
          <w:u w:val="single"/>
        </w:rPr>
        <w:t>Knjižnica</w:t>
      </w:r>
      <w:r w:rsidRPr="00AC63D4">
        <w:t xml:space="preserve"> je ostvarila prihod iz državnog proračuna</w:t>
      </w:r>
      <w:r>
        <w:t xml:space="preserve">, </w:t>
      </w:r>
      <w:r w:rsidRPr="00AC63D4">
        <w:t>od</w:t>
      </w:r>
      <w:r>
        <w:t xml:space="preserve"> Ministarstva kulture i medija</w:t>
      </w:r>
      <w:r w:rsidR="00F05378">
        <w:t xml:space="preserve"> RH</w:t>
      </w:r>
      <w:r w:rsidRPr="00AC63D4">
        <w:t xml:space="preserve"> u iznosu od </w:t>
      </w:r>
      <w:r w:rsidR="00F05378">
        <w:t>5</w:t>
      </w:r>
      <w:r>
        <w:rPr>
          <w:u w:val="single"/>
        </w:rPr>
        <w:t>.</w:t>
      </w:r>
      <w:r w:rsidR="00F05378">
        <w:rPr>
          <w:u w:val="single"/>
        </w:rPr>
        <w:t>3</w:t>
      </w:r>
      <w:r>
        <w:rPr>
          <w:u w:val="single"/>
        </w:rPr>
        <w:t>00,00 eura</w:t>
      </w:r>
      <w:r>
        <w:t xml:space="preserve"> </w:t>
      </w:r>
      <w:r w:rsidRPr="00AC63D4">
        <w:t>za nabavu knji</w:t>
      </w:r>
      <w:r w:rsidR="00656B1D">
        <w:t>ga</w:t>
      </w:r>
      <w:r w:rsidR="00F05378">
        <w:t>.</w:t>
      </w:r>
    </w:p>
    <w:p w:rsidR="00001C71" w:rsidRPr="00AC63D4" w:rsidRDefault="00001C71" w:rsidP="00001C71"/>
    <w:p w:rsidR="00F05378" w:rsidRDefault="00001C71" w:rsidP="00F05378">
      <w:pPr>
        <w:rPr>
          <w:szCs w:val="20"/>
        </w:rPr>
      </w:pPr>
      <w:r>
        <w:rPr>
          <w:u w:val="single"/>
        </w:rPr>
        <w:t>-</w:t>
      </w:r>
      <w:r w:rsidRPr="00AC63D4">
        <w:rPr>
          <w:u w:val="single"/>
        </w:rPr>
        <w:t xml:space="preserve"> Centar za kulturu </w:t>
      </w:r>
      <w:r w:rsidRPr="00AC63D4">
        <w:t xml:space="preserve"> je ostvario prihod od</w:t>
      </w:r>
      <w:r>
        <w:t xml:space="preserve"> Ministarstva kulture i medija</w:t>
      </w:r>
      <w:r w:rsidR="00F05378">
        <w:t xml:space="preserve"> RH</w:t>
      </w:r>
      <w:r>
        <w:t xml:space="preserve"> u ukupnom iznosu od </w:t>
      </w:r>
      <w:r w:rsidR="00F05378">
        <w:t xml:space="preserve">300.634,28 </w:t>
      </w:r>
      <w:r>
        <w:t>eura, koji se odnosi na</w:t>
      </w:r>
      <w:r w:rsidRPr="00AC63D4">
        <w:t xml:space="preserve"> </w:t>
      </w:r>
      <w:r>
        <w:t>V</w:t>
      </w:r>
      <w:r w:rsidR="00F05378">
        <w:t>I</w:t>
      </w:r>
      <w:r>
        <w:t xml:space="preserve">. fazu </w:t>
      </w:r>
      <w:r w:rsidRPr="00AC63D4">
        <w:t>uređenj</w:t>
      </w:r>
      <w:r>
        <w:t>a</w:t>
      </w:r>
      <w:r w:rsidRPr="00AC63D4">
        <w:t xml:space="preserve"> prostora memorijalne zbirke Olivera Dragojevića</w:t>
      </w:r>
      <w:r w:rsidR="00F05378">
        <w:t xml:space="preserve"> i</w:t>
      </w:r>
      <w:r w:rsidR="00F05378" w:rsidRPr="00F05378">
        <w:t xml:space="preserve"> </w:t>
      </w:r>
      <w:r w:rsidR="00F05378">
        <w:t>adaptaciju zgrade CZK za potrebe Zavičajnog muzeja s muzejskom zbirkom.</w:t>
      </w:r>
    </w:p>
    <w:p w:rsidR="00001C71" w:rsidRDefault="00001C71" w:rsidP="00001C71"/>
    <w:p w:rsidR="0036145F" w:rsidRDefault="0036145F" w:rsidP="0036145F">
      <w:r w:rsidRPr="00DE1AC9">
        <w:rPr>
          <w:u w:val="single"/>
        </w:rPr>
        <w:t>2.2. Pomoći od izvanproračunskih korisnika (634)</w:t>
      </w:r>
      <w:r>
        <w:t xml:space="preserve">  su u 2025. godini iznosile 68.400,00 eura. To su prihodi Općinskog proračuna. O</w:t>
      </w:r>
      <w:r w:rsidRPr="00B83764">
        <w:t xml:space="preserve">dnose se na kapitalnu pomoć </w:t>
      </w:r>
      <w:r>
        <w:t xml:space="preserve">od Fonda za zaštitu okoliša i energetsku učinkovitost </w:t>
      </w:r>
      <w:r w:rsidRPr="00173EDE">
        <w:t>(FZOEU)</w:t>
      </w:r>
      <w:r>
        <w:t xml:space="preserve"> za projekt uklanjanja glomaznog otpada. Sredstva su namjenski potrošena.</w:t>
      </w:r>
    </w:p>
    <w:p w:rsidR="0036145F" w:rsidRDefault="0036145F" w:rsidP="00001C71"/>
    <w:p w:rsidR="00703D8C" w:rsidRPr="00173EDE" w:rsidRDefault="0036145F" w:rsidP="0095715D">
      <w:r>
        <w:rPr>
          <w:u w:val="single"/>
        </w:rPr>
        <w:t>2.</w:t>
      </w:r>
      <w:r w:rsidR="00703D8C" w:rsidRPr="0036145F">
        <w:rPr>
          <w:u w:val="single"/>
        </w:rPr>
        <w:t>3. Pomoći fiskalnog izravnanja (635)</w:t>
      </w:r>
      <w:r w:rsidR="00703D8C">
        <w:t xml:space="preserve"> </w:t>
      </w:r>
      <w:r w:rsidR="00CD78CA">
        <w:t>su ostvarene u iznosu od</w:t>
      </w:r>
      <w:r w:rsidR="00703D8C">
        <w:t xml:space="preserve"> </w:t>
      </w:r>
      <w:r>
        <w:t>548.060,43</w:t>
      </w:r>
      <w:r w:rsidR="00703D8C">
        <w:t xml:space="preserve"> eura. U prethodnoj godini</w:t>
      </w:r>
      <w:r w:rsidR="00973959">
        <w:t xml:space="preserve"> su ostvarene u iznosu od </w:t>
      </w:r>
      <w:r>
        <w:t>520.342,96</w:t>
      </w:r>
      <w:r w:rsidR="00973959">
        <w:t xml:space="preserve"> eura, ali</w:t>
      </w:r>
      <w:r w:rsidR="00703D8C">
        <w:t xml:space="preserve"> su se knjižile na kontu 633</w:t>
      </w:r>
      <w:r>
        <w:t>.</w:t>
      </w:r>
    </w:p>
    <w:p w:rsidR="0030500F" w:rsidRDefault="0030500F" w:rsidP="0095715D"/>
    <w:p w:rsidR="0095715D" w:rsidRDefault="003B47C7" w:rsidP="0095715D">
      <w:r w:rsidRPr="003B47C7">
        <w:rPr>
          <w:u w:val="single"/>
        </w:rPr>
        <w:t>2.</w:t>
      </w:r>
      <w:r w:rsidR="00703D8C" w:rsidRPr="003B47C7">
        <w:rPr>
          <w:u w:val="single"/>
        </w:rPr>
        <w:t>4</w:t>
      </w:r>
      <w:r w:rsidR="0095715D" w:rsidRPr="003B47C7">
        <w:rPr>
          <w:u w:val="single"/>
        </w:rPr>
        <w:t>. Pomoći temeljem prijenosa EU sredstava (638</w:t>
      </w:r>
      <w:r>
        <w:rPr>
          <w:u w:val="single"/>
        </w:rPr>
        <w:t>)</w:t>
      </w:r>
      <w:r w:rsidR="0095715D">
        <w:t xml:space="preserve"> </w:t>
      </w:r>
      <w:r w:rsidR="00CD78CA">
        <w:t>su ostvarene u iznosu od</w:t>
      </w:r>
      <w:r w:rsidR="00CE4734">
        <w:t xml:space="preserve"> </w:t>
      </w:r>
      <w:r>
        <w:t>112.476,01</w:t>
      </w:r>
      <w:r w:rsidR="00CE4734">
        <w:t xml:space="preserve">eura, </w:t>
      </w:r>
      <w:r w:rsidR="00CD78CA">
        <w:t xml:space="preserve">a </w:t>
      </w:r>
      <w:r w:rsidR="0095715D">
        <w:t>dijele se na tekuće i kapitalne.</w:t>
      </w:r>
    </w:p>
    <w:p w:rsidR="003B47C7" w:rsidRDefault="003B47C7" w:rsidP="0095715D"/>
    <w:p w:rsidR="003B47C7" w:rsidRDefault="003B47C7" w:rsidP="003B47C7">
      <w:r>
        <w:t>- Tekuće pomoći temeljem prijenosa EU sredstava – 6381, u 2025. su ostvarene u iznosu od 105.788,41 eura (godinu ranije su iznosile 169.332,76 eura), a odnose se na projekt „ZAŽELI - NISI SAM".</w:t>
      </w:r>
    </w:p>
    <w:p w:rsidR="003B47C7" w:rsidRDefault="003B47C7" w:rsidP="003B47C7">
      <w:r>
        <w:t>- Kapitalne pomoći temeljem prijenosa EU sredstava – 6382, u 2025. su ostvarene u iznosu od 6.687,60 eura (prethodne godine ih nije bilo), a koji se odnose na uplatu sredstava od FZOEU za projekt energetske obnove zgrade vrtića i Općine. Sredstva su namjenski potrošena.</w:t>
      </w:r>
    </w:p>
    <w:p w:rsidR="003B47C7" w:rsidRPr="00173EDE" w:rsidRDefault="00166998" w:rsidP="0095715D">
      <w:r>
        <w:t xml:space="preserve">Detaljnije objašnjeno u Izvještaju o korištenju sredstava fondova Europske unije (IV.4.). </w:t>
      </w:r>
    </w:p>
    <w:p w:rsidR="00166998" w:rsidRDefault="00166998" w:rsidP="00166998">
      <w:pPr>
        <w:rPr>
          <w:b/>
          <w:u w:val="single"/>
        </w:rPr>
      </w:pPr>
    </w:p>
    <w:p w:rsidR="00166998" w:rsidRPr="00173EDE" w:rsidRDefault="00E065BA" w:rsidP="00166998">
      <w:r w:rsidRPr="007F6418">
        <w:rPr>
          <w:b/>
          <w:u w:val="single"/>
        </w:rPr>
        <w:lastRenderedPageBreak/>
        <w:t xml:space="preserve">3. </w:t>
      </w:r>
      <w:r w:rsidR="00C00DD4" w:rsidRPr="007F6418">
        <w:rPr>
          <w:b/>
          <w:u w:val="single"/>
        </w:rPr>
        <w:t>Prihodi od imovine (64)</w:t>
      </w:r>
      <w:r w:rsidR="00C00DD4" w:rsidRPr="00C00DD4">
        <w:t xml:space="preserve"> </w:t>
      </w:r>
      <w:r w:rsidR="00131FA9">
        <w:t xml:space="preserve">bilježe međugodišnje povećanje od </w:t>
      </w:r>
      <w:r w:rsidR="00C17D4B">
        <w:t>3,09</w:t>
      </w:r>
      <w:r w:rsidR="0095715D" w:rsidRPr="00173EDE">
        <w:t>%</w:t>
      </w:r>
      <w:r w:rsidR="00131FA9" w:rsidRPr="00131FA9">
        <w:t xml:space="preserve"> </w:t>
      </w:r>
      <w:r w:rsidR="00973959">
        <w:t xml:space="preserve">u </w:t>
      </w:r>
      <w:r w:rsidR="00131FA9">
        <w:t xml:space="preserve">odnosu na isto razdoblje 2024. </w:t>
      </w:r>
      <w:r w:rsidR="0095715D" w:rsidRPr="00173EDE">
        <w:t xml:space="preserve"> </w:t>
      </w:r>
      <w:r w:rsidR="00131FA9">
        <w:t>O</w:t>
      </w:r>
      <w:r w:rsidR="00CD78CA">
        <w:t xml:space="preserve">stvareni su u iznosu od </w:t>
      </w:r>
      <w:r w:rsidR="00C17D4B" w:rsidRPr="00711D1E">
        <w:rPr>
          <w:b/>
        </w:rPr>
        <w:t>295.986,20</w:t>
      </w:r>
      <w:r w:rsidR="0095715D">
        <w:t xml:space="preserve"> </w:t>
      </w:r>
      <w:r w:rsidR="0095715D" w:rsidRPr="00711D1E">
        <w:rPr>
          <w:b/>
        </w:rPr>
        <w:t>eura</w:t>
      </w:r>
      <w:r w:rsidR="00166998">
        <w:t xml:space="preserve"> (Općina 295.965,83</w:t>
      </w:r>
      <w:r w:rsidR="00166998" w:rsidRPr="00173EDE">
        <w:t xml:space="preserve"> eura </w:t>
      </w:r>
      <w:r w:rsidR="00166998">
        <w:t>+ proračunski korisnici 20,37 eura)</w:t>
      </w:r>
      <w:r w:rsidR="00166998" w:rsidRPr="00877833">
        <w:t>.</w:t>
      </w:r>
      <w:r w:rsidR="00166998" w:rsidRPr="00173EDE">
        <w:t xml:space="preserve"> </w:t>
      </w:r>
    </w:p>
    <w:p w:rsidR="0095715D" w:rsidRPr="00173EDE" w:rsidRDefault="0095715D" w:rsidP="0095715D">
      <w:r>
        <w:t xml:space="preserve"> </w:t>
      </w:r>
      <w:r w:rsidRPr="00173EDE">
        <w:t xml:space="preserve">dok su prethodnu godinu iznosili </w:t>
      </w:r>
      <w:r w:rsidR="001063AC">
        <w:t>287.111,24</w:t>
      </w:r>
      <w:r w:rsidR="008B7DF5">
        <w:t xml:space="preserve"> eura </w:t>
      </w:r>
      <w:bookmarkStart w:id="0" w:name="_Hlk228954253"/>
      <w:r w:rsidR="008B7DF5">
        <w:t xml:space="preserve">(Općina </w:t>
      </w:r>
      <w:r w:rsidR="001063AC">
        <w:t>287.096,07</w:t>
      </w:r>
      <w:r w:rsidR="008B7DF5" w:rsidRPr="00173EDE">
        <w:t xml:space="preserve"> eura </w:t>
      </w:r>
      <w:r w:rsidR="008B7DF5">
        <w:t xml:space="preserve">+ proračunski korisnici </w:t>
      </w:r>
      <w:r w:rsidR="001063AC">
        <w:t>15,17</w:t>
      </w:r>
      <w:r w:rsidR="008B7DF5">
        <w:t xml:space="preserve"> eura</w:t>
      </w:r>
      <w:r w:rsidR="00131FA9">
        <w:t>)</w:t>
      </w:r>
      <w:r w:rsidRPr="00877833">
        <w:t>.</w:t>
      </w:r>
      <w:r w:rsidRPr="00173EDE">
        <w:t xml:space="preserve"> </w:t>
      </w:r>
    </w:p>
    <w:bookmarkEnd w:id="0"/>
    <w:p w:rsidR="009E7E16" w:rsidRDefault="001063AC" w:rsidP="00C00DD4">
      <w:r>
        <w:t>To su:</w:t>
      </w:r>
    </w:p>
    <w:p w:rsidR="00A0564E" w:rsidRDefault="009E7E16" w:rsidP="00C00DD4">
      <w:r>
        <w:t xml:space="preserve">- </w:t>
      </w:r>
      <w:r w:rsidRPr="00A0564E">
        <w:rPr>
          <w:i/>
          <w:u w:val="single"/>
        </w:rPr>
        <w:t>prihod</w:t>
      </w:r>
      <w:r w:rsidR="001063AC">
        <w:rPr>
          <w:i/>
          <w:u w:val="single"/>
        </w:rPr>
        <w:t>i</w:t>
      </w:r>
      <w:r w:rsidRPr="00A0564E">
        <w:rPr>
          <w:i/>
          <w:u w:val="single"/>
        </w:rPr>
        <w:t xml:space="preserve"> od financijske imovine (641)</w:t>
      </w:r>
      <w:r>
        <w:t xml:space="preserve"> </w:t>
      </w:r>
      <w:r w:rsidR="00131FA9">
        <w:t xml:space="preserve">koji su ostvareni u iznosu od </w:t>
      </w:r>
      <w:r w:rsidR="001063AC">
        <w:t>4.560,87</w:t>
      </w:r>
      <w:r w:rsidR="008B7DF5">
        <w:t xml:space="preserve"> eura, a godinu ranije su bili </w:t>
      </w:r>
      <w:r w:rsidR="001063AC">
        <w:t>2.043,06</w:t>
      </w:r>
      <w:r w:rsidR="0095715D">
        <w:t xml:space="preserve"> eura</w:t>
      </w:r>
      <w:r w:rsidR="008B7DF5">
        <w:t xml:space="preserve">. </w:t>
      </w:r>
      <w:r w:rsidR="0095715D">
        <w:t>O</w:t>
      </w:r>
      <w:r w:rsidR="00095EE2">
        <w:t>dnos</w:t>
      </w:r>
      <w:r w:rsidR="005B5F79">
        <w:t>e</w:t>
      </w:r>
      <w:r w:rsidR="00095EE2">
        <w:t xml:space="preserve"> se na prihode od</w:t>
      </w:r>
      <w:r w:rsidR="00A0564E">
        <w:t>:</w:t>
      </w:r>
    </w:p>
    <w:p w:rsidR="00A0564E" w:rsidRDefault="00A0564E" w:rsidP="00C00DD4">
      <w:r>
        <w:t>-</w:t>
      </w:r>
      <w:r w:rsidR="009E7E16">
        <w:t xml:space="preserve"> kamat</w:t>
      </w:r>
      <w:r w:rsidR="00095EE2">
        <w:t>a</w:t>
      </w:r>
      <w:r w:rsidR="009E7E16">
        <w:t xml:space="preserve"> na depozite po viđenju</w:t>
      </w:r>
      <w:r w:rsidR="0036471C">
        <w:t xml:space="preserve"> u iznosu od </w:t>
      </w:r>
      <w:r w:rsidR="001063AC">
        <w:t>356,56</w:t>
      </w:r>
      <w:r w:rsidR="008B7DF5">
        <w:t xml:space="preserve"> eura (Općina </w:t>
      </w:r>
      <w:r w:rsidR="001063AC">
        <w:t>336,19</w:t>
      </w:r>
      <w:r w:rsidR="008B7DF5">
        <w:t xml:space="preserve"> + PK </w:t>
      </w:r>
      <w:r w:rsidR="001063AC">
        <w:t>20,37</w:t>
      </w:r>
      <w:r w:rsidR="008B7DF5">
        <w:t xml:space="preserve">), dok su godinu ranije bili </w:t>
      </w:r>
      <w:r w:rsidR="001063AC">
        <w:t>770,77</w:t>
      </w:r>
      <w:r w:rsidR="0036471C">
        <w:t xml:space="preserve"> eura</w:t>
      </w:r>
      <w:r w:rsidR="00095EE2">
        <w:t xml:space="preserve"> </w:t>
      </w:r>
      <w:r w:rsidR="0036471C">
        <w:t>(</w:t>
      </w:r>
      <w:r w:rsidR="00D57DF8">
        <w:t xml:space="preserve">Općina </w:t>
      </w:r>
      <w:r w:rsidR="001063AC">
        <w:t>755,60</w:t>
      </w:r>
      <w:r w:rsidR="00D57DF8">
        <w:t xml:space="preserve"> + PK </w:t>
      </w:r>
      <w:r w:rsidR="001063AC">
        <w:t>15,17</w:t>
      </w:r>
      <w:r w:rsidR="00095EE2">
        <w:t>)</w:t>
      </w:r>
      <w:r w:rsidR="009E7E16">
        <w:t xml:space="preserve"> i </w:t>
      </w:r>
    </w:p>
    <w:p w:rsidR="00B0409D" w:rsidRDefault="00A0564E" w:rsidP="00C00DD4">
      <w:r>
        <w:t xml:space="preserve">- </w:t>
      </w:r>
      <w:r w:rsidR="009E7E16">
        <w:t>zatezne kamate</w:t>
      </w:r>
      <w:r w:rsidR="00EE63C7">
        <w:t xml:space="preserve"> od prisilni</w:t>
      </w:r>
      <w:r w:rsidR="00B640CB">
        <w:t>h</w:t>
      </w:r>
      <w:r w:rsidR="00EE63C7">
        <w:t xml:space="preserve"> naplata</w:t>
      </w:r>
      <w:r w:rsidR="00EC4952">
        <w:t xml:space="preserve"> su prihodi Općine koji su u promatranom razdoblju naplaćeni</w:t>
      </w:r>
      <w:r w:rsidR="0036471C">
        <w:t xml:space="preserve"> u iznosu od </w:t>
      </w:r>
      <w:r w:rsidR="001063AC">
        <w:t>4.204,31</w:t>
      </w:r>
      <w:r w:rsidR="008B7DF5">
        <w:t xml:space="preserve"> eura</w:t>
      </w:r>
      <w:r w:rsidR="00EC4952">
        <w:t xml:space="preserve">, a godinu ranije </w:t>
      </w:r>
      <w:r w:rsidR="001063AC">
        <w:t>1.272,29</w:t>
      </w:r>
      <w:r w:rsidR="0036471C">
        <w:t xml:space="preserve"> eura</w:t>
      </w:r>
      <w:r>
        <w:t>.</w:t>
      </w:r>
      <w:r w:rsidR="00B640CB">
        <w:t xml:space="preserve"> </w:t>
      </w:r>
    </w:p>
    <w:p w:rsidR="0036471C" w:rsidRDefault="0036471C" w:rsidP="00C00DD4"/>
    <w:p w:rsidR="00EE63C7" w:rsidRDefault="009E7E16" w:rsidP="00C00DD4">
      <w:r>
        <w:t xml:space="preserve">- </w:t>
      </w:r>
      <w:r w:rsidRPr="00A0564E">
        <w:rPr>
          <w:i/>
          <w:u w:val="single"/>
        </w:rPr>
        <w:t>prihod</w:t>
      </w:r>
      <w:r w:rsidR="001063AC">
        <w:rPr>
          <w:i/>
          <w:u w:val="single"/>
        </w:rPr>
        <w:t>i</w:t>
      </w:r>
      <w:r w:rsidRPr="00A0564E">
        <w:rPr>
          <w:i/>
          <w:u w:val="single"/>
        </w:rPr>
        <w:t xml:space="preserve"> od nefinancijske imovine</w:t>
      </w:r>
      <w:r w:rsidR="00EE63C7" w:rsidRPr="00A0564E">
        <w:rPr>
          <w:i/>
          <w:u w:val="single"/>
        </w:rPr>
        <w:t xml:space="preserve"> (642)</w:t>
      </w:r>
      <w:r w:rsidR="00836A86">
        <w:t xml:space="preserve"> </w:t>
      </w:r>
      <w:r w:rsidR="00166998">
        <w:t xml:space="preserve"> su prihodi Općine</w:t>
      </w:r>
      <w:r w:rsidR="00131FA9">
        <w:t xml:space="preserve"> ostvareni u iznosu od</w:t>
      </w:r>
      <w:r w:rsidR="00836A86">
        <w:t xml:space="preserve"> </w:t>
      </w:r>
      <w:bookmarkStart w:id="1" w:name="_Hlk207195161"/>
      <w:r w:rsidR="001063AC">
        <w:t>291.425,33</w:t>
      </w:r>
      <w:r w:rsidR="0036471C">
        <w:t xml:space="preserve"> </w:t>
      </w:r>
      <w:bookmarkEnd w:id="1"/>
      <w:r w:rsidR="0036471C">
        <w:t xml:space="preserve">eura </w:t>
      </w:r>
      <w:r w:rsidR="007F6418">
        <w:t xml:space="preserve">i </w:t>
      </w:r>
      <w:r w:rsidR="00EC4952">
        <w:t>veći</w:t>
      </w:r>
      <w:r w:rsidR="007F6418">
        <w:t xml:space="preserve"> su za </w:t>
      </w:r>
      <w:r w:rsidR="001063AC">
        <w:t>2,23</w:t>
      </w:r>
      <w:r w:rsidR="007F6418">
        <w:t>% od prihoda istog razdoblja prethodne godine</w:t>
      </w:r>
      <w:r w:rsidR="00A0564E">
        <w:t xml:space="preserve"> k</w:t>
      </w:r>
      <w:r w:rsidR="00EC4952">
        <w:t>ada</w:t>
      </w:r>
      <w:r w:rsidR="00A0564E">
        <w:t xml:space="preserve"> su bili </w:t>
      </w:r>
      <w:r w:rsidR="001063AC">
        <w:t>285.068,18</w:t>
      </w:r>
      <w:r w:rsidR="00EC4952">
        <w:t xml:space="preserve"> </w:t>
      </w:r>
      <w:r w:rsidR="00A0564E">
        <w:t>eura</w:t>
      </w:r>
      <w:r w:rsidR="007F6418">
        <w:t>.</w:t>
      </w:r>
      <w:r w:rsidR="00EE63C7">
        <w:t xml:space="preserve"> </w:t>
      </w:r>
      <w:r w:rsidR="007F6418">
        <w:t>T</w:t>
      </w:r>
      <w:r w:rsidR="00EE63C7">
        <w:t>o su:</w:t>
      </w:r>
    </w:p>
    <w:p w:rsidR="008D72F7" w:rsidRDefault="008D72F7" w:rsidP="00C00DD4"/>
    <w:p w:rsidR="00C95485" w:rsidRDefault="00EE63C7" w:rsidP="00C00DD4">
      <w:r>
        <w:t>a) 6421</w:t>
      </w:r>
      <w:r w:rsidR="00C00DD4" w:rsidRPr="00C00DD4">
        <w:t xml:space="preserve"> </w:t>
      </w:r>
      <w:r>
        <w:t>naknade za koncesije</w:t>
      </w:r>
      <w:r w:rsidR="00C95485" w:rsidRPr="00C95485">
        <w:t xml:space="preserve"> </w:t>
      </w:r>
      <w:r w:rsidR="00C95485">
        <w:t xml:space="preserve">- </w:t>
      </w:r>
      <w:r w:rsidR="00594AC9">
        <w:t>u</w:t>
      </w:r>
      <w:r w:rsidR="00C95485">
        <w:t xml:space="preserve"> promatranom razdoblju je uprihodovano </w:t>
      </w:r>
      <w:r w:rsidR="001063AC">
        <w:t>64.102,20</w:t>
      </w:r>
      <w:r w:rsidR="00C95485">
        <w:t xml:space="preserve"> eura </w:t>
      </w:r>
      <w:r w:rsidR="001063AC">
        <w:t>(</w:t>
      </w:r>
      <w:r w:rsidR="00C95485">
        <w:t xml:space="preserve">godinu ranije </w:t>
      </w:r>
      <w:r w:rsidR="001063AC">
        <w:t>49.341,28</w:t>
      </w:r>
      <w:r w:rsidR="00C95485">
        <w:t xml:space="preserve"> eura</w:t>
      </w:r>
      <w:r w:rsidR="001063AC">
        <w:t>)</w:t>
      </w:r>
      <w:r w:rsidR="00C95485">
        <w:t>. S</w:t>
      </w:r>
      <w:r>
        <w:t>astoje se od</w:t>
      </w:r>
      <w:r w:rsidR="00C95485">
        <w:t>:</w:t>
      </w:r>
    </w:p>
    <w:p w:rsidR="00C95485" w:rsidRDefault="00C95485" w:rsidP="00C00DD4">
      <w:r>
        <w:t xml:space="preserve">- </w:t>
      </w:r>
      <w:r w:rsidR="00EE63C7">
        <w:t>naknada za koncesije po ugovorima</w:t>
      </w:r>
      <w:r>
        <w:t xml:space="preserve"> </w:t>
      </w:r>
      <w:r w:rsidR="001063AC">
        <w:t xml:space="preserve">96,22 </w:t>
      </w:r>
      <w:r>
        <w:t>eura</w:t>
      </w:r>
      <w:r w:rsidR="00EE63C7">
        <w:t xml:space="preserve">, </w:t>
      </w:r>
    </w:p>
    <w:p w:rsidR="00C95485" w:rsidRDefault="00C95485" w:rsidP="00C00DD4">
      <w:r>
        <w:t xml:space="preserve">- </w:t>
      </w:r>
      <w:r w:rsidR="00EC4952">
        <w:t>prihoda od dozvola</w:t>
      </w:r>
      <w:r>
        <w:t xml:space="preserve"> na pomorskom dobru 1.290,00 eura,</w:t>
      </w:r>
    </w:p>
    <w:p w:rsidR="001063AC" w:rsidRDefault="00C95485" w:rsidP="00C00DD4">
      <w:r>
        <w:t>-</w:t>
      </w:r>
      <w:r w:rsidR="00EC4952">
        <w:t xml:space="preserve"> </w:t>
      </w:r>
      <w:r>
        <w:t xml:space="preserve">naknada za </w:t>
      </w:r>
      <w:r w:rsidR="00EC4952">
        <w:t>koncesij</w:t>
      </w:r>
      <w:r>
        <w:t>u</w:t>
      </w:r>
      <w:r w:rsidR="00EC4952">
        <w:t xml:space="preserve"> </w:t>
      </w:r>
      <w:r w:rsidR="00EE63C7">
        <w:t>na pomorskom dobru</w:t>
      </w:r>
      <w:r>
        <w:t xml:space="preserve"> </w:t>
      </w:r>
      <w:r w:rsidR="001063AC">
        <w:t>36.517,96</w:t>
      </w:r>
      <w:r>
        <w:t xml:space="preserve"> eura</w:t>
      </w:r>
      <w:r w:rsidR="001063AC">
        <w:t>,</w:t>
      </w:r>
      <w:r>
        <w:t xml:space="preserve"> </w:t>
      </w:r>
    </w:p>
    <w:p w:rsidR="00C95485" w:rsidRDefault="00C95485" w:rsidP="00C00DD4">
      <w:r>
        <w:t xml:space="preserve">- </w:t>
      </w:r>
      <w:r w:rsidR="00EC4952">
        <w:t>naknade za koncesiju za linijski prijevoz</w:t>
      </w:r>
      <w:r>
        <w:t xml:space="preserve"> 2.025,00 eura</w:t>
      </w:r>
      <w:r w:rsidR="00EE63C7">
        <w:t xml:space="preserve"> i </w:t>
      </w:r>
    </w:p>
    <w:p w:rsidR="00EC4952" w:rsidRDefault="00C95485" w:rsidP="00C00DD4">
      <w:r>
        <w:t xml:space="preserve">- </w:t>
      </w:r>
      <w:r w:rsidR="00EE63C7">
        <w:t>naknad</w:t>
      </w:r>
      <w:r w:rsidR="00EC4952">
        <w:t>e</w:t>
      </w:r>
      <w:r w:rsidR="00EE63C7">
        <w:t xml:space="preserve"> HT-a za pravo služnosti</w:t>
      </w:r>
      <w:r>
        <w:t xml:space="preserve"> </w:t>
      </w:r>
      <w:r w:rsidR="001063AC">
        <w:t>24.173,02</w:t>
      </w:r>
      <w:r>
        <w:t xml:space="preserve"> eura</w:t>
      </w:r>
      <w:r w:rsidR="001A7338">
        <w:t xml:space="preserve">. </w:t>
      </w:r>
    </w:p>
    <w:p w:rsidR="00B0409D" w:rsidRDefault="00B0409D" w:rsidP="00A90D30"/>
    <w:p w:rsidR="00131FA9" w:rsidRDefault="00EE63C7" w:rsidP="00131FA9">
      <w:r>
        <w:t xml:space="preserve">b) 6422 Prihodi od zakupa i iznajmljivanja imovine - </w:t>
      </w:r>
      <w:r w:rsidR="00594AC9">
        <w:t>u</w:t>
      </w:r>
      <w:r w:rsidR="00131FA9">
        <w:t xml:space="preserve"> promatranom razdoblju je uprihodovano po ovoj osnovi </w:t>
      </w:r>
      <w:r w:rsidR="00A1508F">
        <w:t>217.836,64</w:t>
      </w:r>
      <w:r w:rsidR="00131FA9">
        <w:t xml:space="preserve"> eura, dok je godinu ranije </w:t>
      </w:r>
      <w:r w:rsidR="00A1508F">
        <w:t>228.266,96</w:t>
      </w:r>
      <w:r w:rsidR="00166998">
        <w:t xml:space="preserve"> </w:t>
      </w:r>
      <w:r w:rsidR="00131FA9">
        <w:t>eura.</w:t>
      </w:r>
    </w:p>
    <w:p w:rsidR="00A90D30" w:rsidRDefault="00131FA9" w:rsidP="00A90D30">
      <w:r>
        <w:t>S</w:t>
      </w:r>
      <w:r w:rsidR="00EE63C7">
        <w:t>astoje se od prihoda od zakupa poslovnih prostora, od iznajmljivanja stanova,</w:t>
      </w:r>
      <w:r w:rsidR="00B15716">
        <w:t xml:space="preserve"> od iznajmljivanja bicikala,</w:t>
      </w:r>
      <w:r w:rsidR="00EE63C7">
        <w:t xml:space="preserve"> od davanja u zakup poljoprivrednog zemljišta u vlasništvu RH i prihoda od zakupa javnih površina.</w:t>
      </w:r>
      <w:r w:rsidR="00A90D30" w:rsidRPr="00A90D30">
        <w:t xml:space="preserve"> </w:t>
      </w:r>
    </w:p>
    <w:p w:rsidR="00EE63C7" w:rsidRDefault="00EE63C7" w:rsidP="00C00DD4"/>
    <w:p w:rsidR="00EE63C7" w:rsidRDefault="00EE63C7" w:rsidP="00C00DD4">
      <w:r>
        <w:t xml:space="preserve">c) 6423 Naknada za korištenje nefinancijske imovine </w:t>
      </w:r>
      <w:r w:rsidR="00AA0533">
        <w:t xml:space="preserve">odnosi se na </w:t>
      </w:r>
      <w:r>
        <w:t>spomeničk</w:t>
      </w:r>
      <w:r w:rsidR="00AA0533">
        <w:t>u</w:t>
      </w:r>
      <w:r>
        <w:t xml:space="preserve"> rent</w:t>
      </w:r>
      <w:r w:rsidR="00AA0533">
        <w:t>u, koja</w:t>
      </w:r>
      <w:r w:rsidR="00131FA9">
        <w:t xml:space="preserve"> je</w:t>
      </w:r>
      <w:r w:rsidR="00AA0533">
        <w:t xml:space="preserve"> u promatranom razdoblju tekuće godine </w:t>
      </w:r>
      <w:r w:rsidR="00554549">
        <w:t>ostvarena u iznosu od</w:t>
      </w:r>
      <w:r w:rsidR="00AA0533">
        <w:t xml:space="preserve"> </w:t>
      </w:r>
      <w:r w:rsidR="00A1508F">
        <w:t>11,73</w:t>
      </w:r>
      <w:r w:rsidR="00AA0533">
        <w:t xml:space="preserve"> eura</w:t>
      </w:r>
      <w:r w:rsidR="00B640CB">
        <w:t xml:space="preserve">, </w:t>
      </w:r>
      <w:r w:rsidR="00AA0533">
        <w:t xml:space="preserve">a </w:t>
      </w:r>
      <w:r w:rsidR="00B640CB">
        <w:t>godinu</w:t>
      </w:r>
      <w:r w:rsidR="00554549">
        <w:t xml:space="preserve"> ranije</w:t>
      </w:r>
      <w:r w:rsidR="00B640CB">
        <w:t xml:space="preserve"> </w:t>
      </w:r>
      <w:r w:rsidR="00A1508F">
        <w:t>9,52</w:t>
      </w:r>
      <w:r w:rsidR="00B640CB">
        <w:t xml:space="preserve"> </w:t>
      </w:r>
      <w:r w:rsidR="00AA0533">
        <w:t>eura</w:t>
      </w:r>
      <w:r w:rsidR="00B640CB">
        <w:t>.</w:t>
      </w:r>
    </w:p>
    <w:p w:rsidR="00A23C65" w:rsidRDefault="00A23C65" w:rsidP="00A90D30"/>
    <w:p w:rsidR="00A1508F" w:rsidRDefault="00B640CB" w:rsidP="00A90D30">
      <w:r>
        <w:t xml:space="preserve">d) 6429 Ostali prihodi od nefinancijske imovine </w:t>
      </w:r>
      <w:r w:rsidR="00BD7338">
        <w:t>- u</w:t>
      </w:r>
      <w:r w:rsidR="00A90D30">
        <w:t xml:space="preserve"> promatranom razdoblju je uprihodovano</w:t>
      </w:r>
      <w:r w:rsidR="00BD7338">
        <w:t xml:space="preserve"> </w:t>
      </w:r>
      <w:r w:rsidR="00A1508F">
        <w:t>9.474,76</w:t>
      </w:r>
      <w:r w:rsidR="00BD7338">
        <w:t xml:space="preserve"> eura, dok je godinu ranije to bilo</w:t>
      </w:r>
      <w:r w:rsidR="00A90D30">
        <w:t xml:space="preserve"> </w:t>
      </w:r>
      <w:r w:rsidR="00A1508F">
        <w:t>7.450,42</w:t>
      </w:r>
      <w:r w:rsidR="00B15716">
        <w:t xml:space="preserve"> </w:t>
      </w:r>
      <w:r w:rsidR="00AA0533">
        <w:t>eura</w:t>
      </w:r>
      <w:r w:rsidR="00A90D30">
        <w:t xml:space="preserve">, što je za </w:t>
      </w:r>
      <w:r w:rsidR="00A1508F">
        <w:t>27,17</w:t>
      </w:r>
      <w:r w:rsidR="00A90D30">
        <w:t xml:space="preserve">% </w:t>
      </w:r>
      <w:r w:rsidR="00A1508F">
        <w:t>više</w:t>
      </w:r>
      <w:r w:rsidR="00A90D30">
        <w:t xml:space="preserve"> nego godinu ranije.</w:t>
      </w:r>
      <w:r w:rsidR="00BD7338">
        <w:t xml:space="preserve"> To</w:t>
      </w:r>
      <w:r w:rsidR="00BD7338" w:rsidRPr="00BD7338">
        <w:t xml:space="preserve"> </w:t>
      </w:r>
      <w:r w:rsidR="00BD7338">
        <w:t>su</w:t>
      </w:r>
      <w:r w:rsidR="00A1508F">
        <w:t xml:space="preserve"> prihodi Općine, a odnose se na:</w:t>
      </w:r>
    </w:p>
    <w:p w:rsidR="00BD7338" w:rsidRDefault="00A1508F" w:rsidP="0076533D">
      <w:pPr>
        <w:pStyle w:val="ListParagraph"/>
        <w:numPr>
          <w:ilvl w:val="0"/>
          <w:numId w:val="11"/>
        </w:numPr>
      </w:pPr>
      <w:r>
        <w:t>prihode od naknade za legalizaciju koji su ostvareni u iznosu od 2.171,23 eura,</w:t>
      </w:r>
    </w:p>
    <w:p w:rsidR="00C1172C" w:rsidRDefault="00C1172C" w:rsidP="0076533D">
      <w:pPr>
        <w:pStyle w:val="ListParagraph"/>
        <w:numPr>
          <w:ilvl w:val="0"/>
          <w:numId w:val="11"/>
        </w:numPr>
      </w:pPr>
      <w:r>
        <w:t>prihod</w:t>
      </w:r>
      <w:r w:rsidR="00A1508F">
        <w:t>e</w:t>
      </w:r>
      <w:r>
        <w:t xml:space="preserve"> od </w:t>
      </w:r>
      <w:r w:rsidR="00BD7338">
        <w:t>naknade za promjenu namjene poljoprivrednog zemljišta</w:t>
      </w:r>
      <w:r>
        <w:t xml:space="preserve"> koji su</w:t>
      </w:r>
      <w:r w:rsidR="00A1508F">
        <w:t xml:space="preserve"> ostvareni u iznosu od 120,57 eura</w:t>
      </w:r>
      <w:r w:rsidR="00BD7338">
        <w:t xml:space="preserve"> te </w:t>
      </w:r>
    </w:p>
    <w:p w:rsidR="00A1508F" w:rsidRPr="00A1508F" w:rsidRDefault="00C1172C" w:rsidP="0076533D">
      <w:pPr>
        <w:pStyle w:val="ListParagraph"/>
        <w:numPr>
          <w:ilvl w:val="0"/>
          <w:numId w:val="11"/>
        </w:numPr>
        <w:rPr>
          <w:u w:val="single"/>
        </w:rPr>
      </w:pPr>
      <w:r>
        <w:t>prihod</w:t>
      </w:r>
      <w:r w:rsidR="00A1508F">
        <w:t>e</w:t>
      </w:r>
      <w:r>
        <w:t xml:space="preserve"> </w:t>
      </w:r>
      <w:r w:rsidR="00BD7338">
        <w:t>od zakupa zemljišta</w:t>
      </w:r>
      <w:r w:rsidR="00A1508F">
        <w:t xml:space="preserve"> na Sitnici i u Poduzetničkoj zoni koji su</w:t>
      </w:r>
      <w:r w:rsidR="00B15716">
        <w:t xml:space="preserve"> ostvareni u iznosu od </w:t>
      </w:r>
      <w:r w:rsidR="00A1508F">
        <w:t>7.182,96</w:t>
      </w:r>
      <w:r w:rsidR="00B15716">
        <w:t xml:space="preserve"> eura</w:t>
      </w:r>
      <w:r w:rsidR="00A1508F">
        <w:t>.</w:t>
      </w:r>
    </w:p>
    <w:p w:rsidR="00A1508F" w:rsidRDefault="00A1508F" w:rsidP="00A1508F">
      <w:pPr>
        <w:rPr>
          <w:b/>
          <w:u w:val="single"/>
        </w:rPr>
      </w:pPr>
    </w:p>
    <w:p w:rsidR="00C1172C" w:rsidRPr="00A1508F" w:rsidRDefault="00E065BA" w:rsidP="00A1508F">
      <w:pPr>
        <w:rPr>
          <w:u w:val="single"/>
        </w:rPr>
      </w:pPr>
      <w:r w:rsidRPr="00A1508F">
        <w:rPr>
          <w:b/>
          <w:u w:val="single"/>
        </w:rPr>
        <w:t xml:space="preserve">4. </w:t>
      </w:r>
      <w:r w:rsidR="00C00DD4" w:rsidRPr="00A1508F">
        <w:rPr>
          <w:b/>
          <w:u w:val="single"/>
        </w:rPr>
        <w:t>Prihodi od upravnih i administrativnih pristojbi, pristojbi po posebnim propisima i naknada (65)</w:t>
      </w:r>
      <w:r w:rsidR="00C00DD4" w:rsidRPr="00A1508F">
        <w:rPr>
          <w:u w:val="single"/>
        </w:rPr>
        <w:t xml:space="preserve"> </w:t>
      </w:r>
    </w:p>
    <w:p w:rsidR="000A4F48" w:rsidRDefault="000A4F48" w:rsidP="00C00DD4">
      <w:pPr>
        <w:rPr>
          <w:u w:val="single"/>
        </w:rPr>
      </w:pPr>
    </w:p>
    <w:p w:rsidR="000A4F48" w:rsidRDefault="000A4F48" w:rsidP="000A4F48">
      <w:pPr>
        <w:spacing w:line="276" w:lineRule="auto"/>
      </w:pPr>
      <w:r>
        <w:t xml:space="preserve">Ovi prihodi ostvareni su u iznosu od </w:t>
      </w:r>
      <w:r w:rsidR="00600D62" w:rsidRPr="00600D62">
        <w:rPr>
          <w:b/>
        </w:rPr>
        <w:t>415.614,69</w:t>
      </w:r>
      <w:r>
        <w:t xml:space="preserve"> </w:t>
      </w:r>
      <w:r w:rsidRPr="00711D1E">
        <w:rPr>
          <w:b/>
        </w:rPr>
        <w:t>eura</w:t>
      </w:r>
      <w:r w:rsidR="0072510D">
        <w:t xml:space="preserve"> (Općina </w:t>
      </w:r>
      <w:r w:rsidR="00600D62">
        <w:t>282.338,93</w:t>
      </w:r>
      <w:r w:rsidR="0072510D">
        <w:t xml:space="preserve"> eura + proračunski korisnici </w:t>
      </w:r>
      <w:r w:rsidR="00600D62">
        <w:t>133.275,76</w:t>
      </w:r>
      <w:r w:rsidR="0072510D">
        <w:t xml:space="preserve"> eura)</w:t>
      </w:r>
      <w:r>
        <w:t xml:space="preserve"> </w:t>
      </w:r>
      <w:r w:rsidR="00600D62">
        <w:t xml:space="preserve">dok su godinu ranije bili </w:t>
      </w:r>
      <w:r w:rsidR="00600D62" w:rsidRPr="00600D62">
        <w:t>430.742,06 eura</w:t>
      </w:r>
      <w:r w:rsidR="00600D62">
        <w:t xml:space="preserve"> (Općina</w:t>
      </w:r>
      <w:r w:rsidR="00600D62" w:rsidRPr="00B83764">
        <w:t xml:space="preserve"> </w:t>
      </w:r>
      <w:r w:rsidR="00600D62" w:rsidRPr="00A24FDC">
        <w:t xml:space="preserve">307.647,69 </w:t>
      </w:r>
      <w:r w:rsidR="00600D62">
        <w:t>eura + PK 123.094,37 eura)</w:t>
      </w:r>
      <w:r>
        <w:t xml:space="preserve">. </w:t>
      </w:r>
      <w:r w:rsidR="00B558F3">
        <w:t>Dijele se na:</w:t>
      </w:r>
    </w:p>
    <w:p w:rsidR="0072510D" w:rsidRDefault="0072510D" w:rsidP="00C1172C"/>
    <w:p w:rsidR="00C1172C" w:rsidRDefault="00B27BDE" w:rsidP="00C1172C">
      <w:r>
        <w:t>4.</w:t>
      </w:r>
      <w:r w:rsidR="00C1172C">
        <w:t>1.)</w:t>
      </w:r>
      <w:r w:rsidR="00C1172C" w:rsidRPr="00173EDE">
        <w:t xml:space="preserve"> </w:t>
      </w:r>
      <w:r w:rsidR="00C1172C" w:rsidRPr="00B466C9">
        <w:rPr>
          <w:u w:val="single"/>
        </w:rPr>
        <w:t>Upravne i administrativne pristojbe - 651</w:t>
      </w:r>
      <w:r w:rsidR="00C1172C" w:rsidRPr="00173EDE">
        <w:t xml:space="preserve">, </w:t>
      </w:r>
      <w:r w:rsidR="00C1172C">
        <w:t xml:space="preserve">su prihodi Općine, </w:t>
      </w:r>
      <w:r w:rsidR="00C1172C" w:rsidRPr="00173EDE">
        <w:t xml:space="preserve">ostvarene su u iznosu od </w:t>
      </w:r>
      <w:r w:rsidR="00600D62">
        <w:t>69.640,39</w:t>
      </w:r>
      <w:r w:rsidR="00C1172C" w:rsidRPr="00173EDE">
        <w:t xml:space="preserve"> eura (prethodnu godinu su iznosile </w:t>
      </w:r>
      <w:r w:rsidR="00600D62">
        <w:t>57.989,33</w:t>
      </w:r>
      <w:r w:rsidR="00357ECB" w:rsidRPr="00173EDE">
        <w:t xml:space="preserve"> </w:t>
      </w:r>
      <w:r w:rsidR="00C1172C" w:rsidRPr="00173EDE">
        <w:t xml:space="preserve">eura), a </w:t>
      </w:r>
      <w:r w:rsidR="00B466C9">
        <w:t>odnose se na</w:t>
      </w:r>
      <w:r w:rsidR="00C1172C" w:rsidRPr="00173EDE">
        <w:t>:</w:t>
      </w:r>
    </w:p>
    <w:p w:rsidR="00B466C9" w:rsidRDefault="00B466C9" w:rsidP="00B466C9">
      <w:r>
        <w:t xml:space="preserve">- 6512 općinske upravne pristojbe - u tekućoj godini iznose </w:t>
      </w:r>
      <w:r w:rsidR="00600D62">
        <w:t>4.118,58</w:t>
      </w:r>
      <w:r>
        <w:t xml:space="preserve"> eura, </w:t>
      </w:r>
      <w:r w:rsidR="00AA0533">
        <w:t>a u prethodnoj godini</w:t>
      </w:r>
      <w:r w:rsidR="006E7070">
        <w:t xml:space="preserve"> </w:t>
      </w:r>
      <w:r w:rsidR="00600D62">
        <w:t>2.178,89</w:t>
      </w:r>
      <w:r>
        <w:t xml:space="preserve"> </w:t>
      </w:r>
      <w:r w:rsidR="00AA0533">
        <w:t>€</w:t>
      </w:r>
      <w:r>
        <w:t xml:space="preserve">, </w:t>
      </w:r>
    </w:p>
    <w:p w:rsidR="00B466C9" w:rsidRDefault="00B466C9" w:rsidP="00B466C9">
      <w:r>
        <w:t xml:space="preserve">- 6513 </w:t>
      </w:r>
      <w:r w:rsidR="00504BCC">
        <w:t xml:space="preserve">Ostale upravne pristojbe i naknade tj. </w:t>
      </w:r>
      <w:r>
        <w:t>prihode od prodaje državnih biljega</w:t>
      </w:r>
      <w:r w:rsidR="006E7070">
        <w:t xml:space="preserve"> u iznosu od </w:t>
      </w:r>
      <w:r w:rsidR="00600D62">
        <w:t>210,86</w:t>
      </w:r>
      <w:r w:rsidR="006E7070">
        <w:t xml:space="preserve"> eura, a u godini ranije su bili</w:t>
      </w:r>
      <w:r>
        <w:t xml:space="preserve"> </w:t>
      </w:r>
      <w:r w:rsidR="00600D62">
        <w:t>78,58</w:t>
      </w:r>
      <w:r>
        <w:t xml:space="preserve"> </w:t>
      </w:r>
      <w:r w:rsidR="001E3EEE">
        <w:t>eura</w:t>
      </w:r>
      <w:r>
        <w:t xml:space="preserve"> i</w:t>
      </w:r>
    </w:p>
    <w:p w:rsidR="00B466C9" w:rsidRDefault="00B466C9" w:rsidP="00B466C9">
      <w:r>
        <w:lastRenderedPageBreak/>
        <w:t xml:space="preserve">- 6514 </w:t>
      </w:r>
      <w:r w:rsidR="001E3EEE">
        <w:t>o</w:t>
      </w:r>
      <w:r>
        <w:t xml:space="preserve">stale pristojbe i naknade </w:t>
      </w:r>
      <w:r w:rsidR="006E7070">
        <w:t xml:space="preserve">u tekućoj godini iznose </w:t>
      </w:r>
      <w:r w:rsidR="00600D62">
        <w:t>65.310,95</w:t>
      </w:r>
      <w:r w:rsidR="006E7070">
        <w:t xml:space="preserve"> eura</w:t>
      </w:r>
      <w:r w:rsidR="00504BCC">
        <w:t xml:space="preserve"> (prihod od turističke pristojbe 56.786,08 eura + naknada za nautički vez 8.524,87 eura)</w:t>
      </w:r>
      <w:r w:rsidR="006E7070">
        <w:t>, dok su u promatranom razdoblju prethodne godine bil</w:t>
      </w:r>
      <w:r w:rsidR="00AA0533">
        <w:t>e</w:t>
      </w:r>
      <w:r w:rsidR="006E7070">
        <w:t xml:space="preserve"> </w:t>
      </w:r>
      <w:r w:rsidR="00600D62">
        <w:t>55.731,86</w:t>
      </w:r>
      <w:r w:rsidR="00357ECB">
        <w:t xml:space="preserve"> eura</w:t>
      </w:r>
      <w:r w:rsidR="00504BCC">
        <w:t xml:space="preserve"> (</w:t>
      </w:r>
      <w:r w:rsidR="006E7070">
        <w:t>prihod od</w:t>
      </w:r>
      <w:r>
        <w:t xml:space="preserve"> turističk</w:t>
      </w:r>
      <w:r w:rsidR="006E7070">
        <w:t>e</w:t>
      </w:r>
      <w:r>
        <w:t xml:space="preserve"> pristojb</w:t>
      </w:r>
      <w:r w:rsidR="006E7070">
        <w:t>e</w:t>
      </w:r>
      <w:r w:rsidR="00504BCC">
        <w:t>)</w:t>
      </w:r>
      <w:bookmarkStart w:id="2" w:name="_Hlk175130824"/>
      <w:bookmarkStart w:id="3" w:name="_Hlk207788349"/>
      <w:r w:rsidR="00504BCC">
        <w:t>.</w:t>
      </w:r>
    </w:p>
    <w:bookmarkEnd w:id="2"/>
    <w:bookmarkEnd w:id="3"/>
    <w:p w:rsidR="00B466C9" w:rsidRPr="00173EDE" w:rsidRDefault="00B466C9" w:rsidP="00C1172C"/>
    <w:p w:rsidR="00C1172C" w:rsidRPr="00173EDE" w:rsidRDefault="00B27BDE" w:rsidP="00C1172C">
      <w:r>
        <w:t>4.</w:t>
      </w:r>
      <w:r w:rsidR="00C1172C">
        <w:t>2.</w:t>
      </w:r>
      <w:r w:rsidR="00C1172C" w:rsidRPr="00173EDE">
        <w:t xml:space="preserve">) </w:t>
      </w:r>
      <w:r w:rsidR="00C1172C" w:rsidRPr="00B466C9">
        <w:rPr>
          <w:u w:val="single"/>
        </w:rPr>
        <w:t>Prihodi po posebnim propisima - 652</w:t>
      </w:r>
      <w:r w:rsidR="00C1172C" w:rsidRPr="00173EDE">
        <w:t>, ostvareni su u iznosu od</w:t>
      </w:r>
      <w:r w:rsidR="00C1172C">
        <w:t xml:space="preserve"> </w:t>
      </w:r>
      <w:r w:rsidR="00504BCC">
        <w:t>157.305,34</w:t>
      </w:r>
      <w:r w:rsidR="00C1172C">
        <w:t xml:space="preserve"> eura</w:t>
      </w:r>
      <w:r w:rsidR="00504BCC">
        <w:t xml:space="preserve"> (Općina 24.029,58 + PK 133.275,76)</w:t>
      </w:r>
      <w:r w:rsidR="00C1172C">
        <w:t xml:space="preserve">, dok su prethodnu godinu ostvareni u iznosu od </w:t>
      </w:r>
      <w:r w:rsidR="00504BCC">
        <w:t>144.009,24</w:t>
      </w:r>
      <w:r w:rsidR="00357ECB">
        <w:t xml:space="preserve"> </w:t>
      </w:r>
      <w:r w:rsidR="00C1172C">
        <w:t>eura</w:t>
      </w:r>
      <w:r w:rsidR="00504BCC">
        <w:t xml:space="preserve"> (Općina 20.914,87 eura + PK 123.094,37 eura)</w:t>
      </w:r>
      <w:r w:rsidR="000161EC">
        <w:t>. To su</w:t>
      </w:r>
      <w:r w:rsidR="00C1172C" w:rsidRPr="00173EDE">
        <w:t>:</w:t>
      </w:r>
    </w:p>
    <w:p w:rsidR="00504BCC" w:rsidRDefault="00504BCC" w:rsidP="00C1172C"/>
    <w:p w:rsidR="00C1172C" w:rsidRPr="00173EDE" w:rsidRDefault="000161EC" w:rsidP="00C1172C">
      <w:r>
        <w:t>a)</w:t>
      </w:r>
      <w:r w:rsidR="00C1172C" w:rsidRPr="00173EDE">
        <w:t xml:space="preserve"> </w:t>
      </w:r>
      <w:r>
        <w:t xml:space="preserve">6522 </w:t>
      </w:r>
      <w:r w:rsidR="00C1172C" w:rsidRPr="00173EDE">
        <w:t>prihod</w:t>
      </w:r>
      <w:r>
        <w:t>i</w:t>
      </w:r>
      <w:r w:rsidR="00C1172C" w:rsidRPr="00173EDE">
        <w:t xml:space="preserve"> vodnog gospodarstva (vodni doprinos) - </w:t>
      </w:r>
      <w:r w:rsidR="00C1172C">
        <w:t xml:space="preserve">su prihodi Općine, </w:t>
      </w:r>
      <w:r w:rsidR="00D7784A">
        <w:t>ostvareni</w:t>
      </w:r>
      <w:r w:rsidR="001E3EEE">
        <w:t xml:space="preserve"> su</w:t>
      </w:r>
      <w:r w:rsidR="00D7784A">
        <w:t xml:space="preserve"> u iznosu od </w:t>
      </w:r>
      <w:r w:rsidR="00504BCC">
        <w:t>36,65</w:t>
      </w:r>
      <w:r w:rsidR="00D7784A">
        <w:t xml:space="preserve"> eura, dok su u </w:t>
      </w:r>
      <w:r w:rsidR="001E3EEE">
        <w:t xml:space="preserve">promatranom razdoblju </w:t>
      </w:r>
      <w:r w:rsidR="00D7784A">
        <w:t xml:space="preserve">prethodne godine ostvareni </w:t>
      </w:r>
      <w:r w:rsidR="00C1172C" w:rsidRPr="00173EDE">
        <w:t xml:space="preserve">u iznosu od </w:t>
      </w:r>
      <w:r w:rsidR="00504BCC">
        <w:t xml:space="preserve">959,61 </w:t>
      </w:r>
      <w:r w:rsidR="00C1172C" w:rsidRPr="00173EDE">
        <w:t>eura i</w:t>
      </w:r>
    </w:p>
    <w:p w:rsidR="00D7784A" w:rsidRDefault="00D7784A" w:rsidP="00C1172C"/>
    <w:p w:rsidR="000161EC" w:rsidRDefault="000161EC" w:rsidP="00C1172C">
      <w:r>
        <w:t xml:space="preserve">b) 6526 </w:t>
      </w:r>
      <w:r w:rsidR="00C1172C" w:rsidRPr="00173EDE">
        <w:t>ostal</w:t>
      </w:r>
      <w:r>
        <w:t>i</w:t>
      </w:r>
      <w:r w:rsidR="00C1172C" w:rsidRPr="00173EDE">
        <w:t xml:space="preserve"> nespomenut</w:t>
      </w:r>
      <w:r>
        <w:t>i</w:t>
      </w:r>
      <w:r w:rsidR="00C1172C" w:rsidRPr="00173EDE">
        <w:t xml:space="preserve"> prihod</w:t>
      </w:r>
      <w:r>
        <w:t>i</w:t>
      </w:r>
      <w:r w:rsidR="00C1172C" w:rsidRPr="00173EDE">
        <w:t xml:space="preserve"> </w:t>
      </w:r>
      <w:r w:rsidR="00D7784A">
        <w:t>su u promatranom razdoblju tekuće godine</w:t>
      </w:r>
      <w:r w:rsidR="00C1172C" w:rsidRPr="00173EDE">
        <w:t xml:space="preserve"> </w:t>
      </w:r>
      <w:r w:rsidR="00D7784A">
        <w:t xml:space="preserve">naplaćeni u iznosu od </w:t>
      </w:r>
      <w:r w:rsidR="00504BCC">
        <w:t>157.268,69</w:t>
      </w:r>
      <w:r w:rsidR="00D7784A">
        <w:t xml:space="preserve"> eura</w:t>
      </w:r>
      <w:r w:rsidR="00C1172C">
        <w:t xml:space="preserve"> </w:t>
      </w:r>
      <w:r w:rsidR="00D7784A">
        <w:t>(Općina</w:t>
      </w:r>
      <w:r w:rsidR="00D7784A" w:rsidRPr="00173EDE">
        <w:t xml:space="preserve"> </w:t>
      </w:r>
      <w:r w:rsidR="00B40E2F">
        <w:t>23.992,93</w:t>
      </w:r>
      <w:r w:rsidR="00D7784A" w:rsidRPr="00173EDE">
        <w:t xml:space="preserve"> eura</w:t>
      </w:r>
      <w:r w:rsidR="00D7784A">
        <w:t xml:space="preserve"> + proračunski korisnici </w:t>
      </w:r>
      <w:r w:rsidR="00B40E2F">
        <w:t>133.275,76</w:t>
      </w:r>
      <w:r w:rsidR="00D7784A">
        <w:t xml:space="preserve"> eura), </w:t>
      </w:r>
      <w:r w:rsidR="001E3EEE">
        <w:t xml:space="preserve">dok su prethodnu godinu ostvareni u iznosu od </w:t>
      </w:r>
      <w:r w:rsidR="00B40E2F">
        <w:t>143.049,63</w:t>
      </w:r>
      <w:r w:rsidR="00C1172C">
        <w:t xml:space="preserve"> eura (Općina</w:t>
      </w:r>
      <w:r w:rsidR="00C1172C" w:rsidRPr="00173EDE">
        <w:t xml:space="preserve"> </w:t>
      </w:r>
      <w:r w:rsidR="00B40E2F">
        <w:t>19.955,26</w:t>
      </w:r>
      <w:r w:rsidR="00C1172C" w:rsidRPr="00173EDE">
        <w:t xml:space="preserve"> eura</w:t>
      </w:r>
      <w:r w:rsidR="00C1172C">
        <w:t xml:space="preserve"> + proračunski korisnici </w:t>
      </w:r>
      <w:r w:rsidR="00B40E2F">
        <w:t>123.094,37</w:t>
      </w:r>
      <w:r w:rsidR="00C1172C">
        <w:t xml:space="preserve"> eura)</w:t>
      </w:r>
      <w:r w:rsidR="00C1172C" w:rsidRPr="00173EDE">
        <w:t xml:space="preserve">. </w:t>
      </w:r>
    </w:p>
    <w:p w:rsidR="00B40E2F" w:rsidRDefault="00B40E2F" w:rsidP="00C1172C"/>
    <w:p w:rsidR="00C1172C" w:rsidRPr="00173EDE" w:rsidRDefault="00C1172C" w:rsidP="00C1172C">
      <w:r>
        <w:t>U</w:t>
      </w:r>
      <w:r w:rsidR="00B40E2F">
        <w:t xml:space="preserve"> 2025. u</w:t>
      </w:r>
      <w:r>
        <w:t xml:space="preserve"> Općini</w:t>
      </w:r>
      <w:r w:rsidR="00B558F3">
        <w:t>, ostali nespomenuti prihodi</w:t>
      </w:r>
      <w:r>
        <w:t xml:space="preserve"> su </w:t>
      </w:r>
      <w:r w:rsidR="00B558F3">
        <w:t xml:space="preserve">prihodi od </w:t>
      </w:r>
      <w:r w:rsidRPr="00173EDE">
        <w:t>refundacij</w:t>
      </w:r>
      <w:r w:rsidR="00B558F3">
        <w:t>a</w:t>
      </w:r>
      <w:r w:rsidRPr="00173EDE">
        <w:t xml:space="preserve"> troškova prema ugovorima </w:t>
      </w:r>
      <w:r w:rsidR="00B40E2F">
        <w:t>10.021,95</w:t>
      </w:r>
      <w:r w:rsidRPr="00173EDE">
        <w:t xml:space="preserve"> eura + prihodi od naplate naknade za uređenje voda 10% u iznosu od </w:t>
      </w:r>
      <w:r w:rsidR="00B40E2F">
        <w:t>13.970,98</w:t>
      </w:r>
      <w:r w:rsidRPr="00173EDE">
        <w:t xml:space="preserve"> eura.</w:t>
      </w:r>
    </w:p>
    <w:p w:rsidR="00B40E2F" w:rsidRDefault="00B40E2F" w:rsidP="00016A1E"/>
    <w:p w:rsidR="00016A1E" w:rsidRDefault="00016A1E" w:rsidP="00016A1E">
      <w:r>
        <w:t>Kod proračunskih korisnika</w:t>
      </w:r>
      <w:r w:rsidR="004F088B">
        <w:t>,</w:t>
      </w:r>
      <w:r>
        <w:t xml:space="preserve"> ostali nespomenuti prihodi</w:t>
      </w:r>
      <w:r w:rsidR="004F088B">
        <w:t xml:space="preserve"> su ostvareni u iznosu</w:t>
      </w:r>
      <w:r>
        <w:t xml:space="preserve"> od </w:t>
      </w:r>
      <w:r w:rsidR="00B40E2F">
        <w:t>133.275,76</w:t>
      </w:r>
      <w:r>
        <w:t xml:space="preserve"> </w:t>
      </w:r>
      <w:r w:rsidR="004F088B">
        <w:t>eura</w:t>
      </w:r>
      <w:r>
        <w:t xml:space="preserve"> </w:t>
      </w:r>
      <w:r w:rsidR="004F088B">
        <w:t>kako slijedi</w:t>
      </w:r>
      <w:r>
        <w:t xml:space="preserve">: </w:t>
      </w:r>
    </w:p>
    <w:p w:rsidR="00235CBC" w:rsidRPr="00173EDE" w:rsidRDefault="00235CBC" w:rsidP="0076533D">
      <w:pPr>
        <w:pStyle w:val="ListParagraph"/>
        <w:numPr>
          <w:ilvl w:val="0"/>
          <w:numId w:val="10"/>
        </w:numPr>
      </w:pPr>
      <w:r>
        <w:t>u DV Radost su to prihodi od participacija roditelja za djecu koja pohađaju vrtić</w:t>
      </w:r>
      <w:r w:rsidR="00C17D4B">
        <w:t xml:space="preserve"> i za dodatni program sportske škole</w:t>
      </w:r>
      <w:r>
        <w:t xml:space="preserve">, koji su ostvareni u iznosu od </w:t>
      </w:r>
      <w:r w:rsidR="00C17D4B">
        <w:t>64.178,97</w:t>
      </w:r>
      <w:r>
        <w:t xml:space="preserve"> eura, a u promatranom razdoblju prethodne godine </w:t>
      </w:r>
      <w:r w:rsidR="00C17D4B">
        <w:t>68.348,02</w:t>
      </w:r>
      <w:r>
        <w:t xml:space="preserve"> eura.</w:t>
      </w:r>
    </w:p>
    <w:p w:rsidR="000161EC" w:rsidRDefault="004F088B" w:rsidP="0076533D">
      <w:pPr>
        <w:pStyle w:val="ListParagraph"/>
        <w:numPr>
          <w:ilvl w:val="0"/>
          <w:numId w:val="9"/>
        </w:numPr>
      </w:pPr>
      <w:r>
        <w:t xml:space="preserve">u </w:t>
      </w:r>
      <w:r w:rsidR="00C1172C">
        <w:t>Knjižnic</w:t>
      </w:r>
      <w:r>
        <w:t>i</w:t>
      </w:r>
      <w:r w:rsidR="00C1172C">
        <w:t xml:space="preserve"> je to prihod od upisnina i zakasnina u iznosu od </w:t>
      </w:r>
      <w:bookmarkStart w:id="4" w:name="_Hlk207716446"/>
      <w:r w:rsidR="00B40E2F">
        <w:t>1.342,10</w:t>
      </w:r>
      <w:r w:rsidR="00C1172C">
        <w:t xml:space="preserve"> </w:t>
      </w:r>
      <w:bookmarkEnd w:id="4"/>
      <w:r w:rsidR="00C1172C">
        <w:t xml:space="preserve">eura (godinu ranije je to iznosilo </w:t>
      </w:r>
      <w:r w:rsidR="00235CBC">
        <w:t>1.162,85</w:t>
      </w:r>
      <w:r>
        <w:t xml:space="preserve"> </w:t>
      </w:r>
      <w:r w:rsidR="00C1172C">
        <w:t xml:space="preserve">eura). </w:t>
      </w:r>
    </w:p>
    <w:p w:rsidR="004F088B" w:rsidRDefault="004F088B" w:rsidP="0076533D">
      <w:pPr>
        <w:pStyle w:val="ListParagraph"/>
        <w:numPr>
          <w:ilvl w:val="0"/>
          <w:numId w:val="9"/>
        </w:numPr>
      </w:pPr>
      <w:r>
        <w:t>u</w:t>
      </w:r>
      <w:r w:rsidR="00C1172C">
        <w:t xml:space="preserve"> CZK je to prihod od ulaznica</w:t>
      </w:r>
      <w:r w:rsidR="00235CBC">
        <w:t xml:space="preserve"> (za Velu Spilu i za koncerte)</w:t>
      </w:r>
      <w:r w:rsidR="00C1172C">
        <w:t xml:space="preserve"> u iznosu od </w:t>
      </w:r>
      <w:r w:rsidR="00235CBC">
        <w:t>67.754,69</w:t>
      </w:r>
      <w:r>
        <w:t xml:space="preserve"> eura, dok je godinu ranije bio </w:t>
      </w:r>
      <w:r w:rsidR="00235CBC">
        <w:t>53.583,50</w:t>
      </w:r>
      <w:r w:rsidR="00C1172C">
        <w:t xml:space="preserve"> eura. </w:t>
      </w:r>
    </w:p>
    <w:p w:rsidR="00235CBC" w:rsidRDefault="00235CBC" w:rsidP="00235CBC"/>
    <w:p w:rsidR="00235CBC" w:rsidRPr="00235CBC" w:rsidRDefault="00235CBC" w:rsidP="00235CBC">
      <w:r w:rsidRPr="00235CBC">
        <w:t>Cijena ulaznica za posjet Veloj spili do 31.07.24. je iznosila 2,00 eura, a od 01.08.24. je povećana na iznos od 4,00 eura.</w:t>
      </w:r>
      <w:r>
        <w:t xml:space="preserve"> </w:t>
      </w:r>
      <w:r w:rsidRPr="00235CBC">
        <w:t xml:space="preserve">Velu Spilu </w:t>
      </w:r>
      <w:r>
        <w:t>je posjetilo u 2025. godini 9.764 posjetitelja, a u 2024. godini 12.178</w:t>
      </w:r>
      <w:r w:rsidRPr="00235CBC">
        <w:t xml:space="preserve"> posjetitelja</w:t>
      </w:r>
      <w:r>
        <w:t xml:space="preserve"> (mjereno po broju prodanih ulaznica)</w:t>
      </w:r>
      <w:r w:rsidRPr="00235CBC">
        <w:t>.</w:t>
      </w:r>
    </w:p>
    <w:p w:rsidR="00235CBC" w:rsidRDefault="00235CBC" w:rsidP="00C1172C"/>
    <w:p w:rsidR="00C1172C" w:rsidRPr="00173EDE" w:rsidRDefault="00B27BDE" w:rsidP="00C1172C">
      <w:r>
        <w:t>4</w:t>
      </w:r>
      <w:r w:rsidR="00C1172C">
        <w:t>.3.</w:t>
      </w:r>
      <w:r w:rsidR="00C1172C" w:rsidRPr="00173EDE">
        <w:t xml:space="preserve">) </w:t>
      </w:r>
      <w:r w:rsidR="00C1172C" w:rsidRPr="00B466C9">
        <w:rPr>
          <w:u w:val="single"/>
        </w:rPr>
        <w:t>Komunalni doprinosi i naknade – 653</w:t>
      </w:r>
      <w:r w:rsidR="00C1172C" w:rsidRPr="00173EDE">
        <w:t>,</w:t>
      </w:r>
      <w:r w:rsidR="00C1172C">
        <w:t xml:space="preserve"> su prihodi Općine </w:t>
      </w:r>
      <w:r w:rsidR="004C2648">
        <w:t>koji</w:t>
      </w:r>
      <w:r w:rsidR="004C2648" w:rsidRPr="004C2648">
        <w:t xml:space="preserve"> </w:t>
      </w:r>
      <w:r w:rsidR="004C2648">
        <w:t xml:space="preserve">bilježe međugodišnje smanjenje od </w:t>
      </w:r>
      <w:r w:rsidR="00C17D4B">
        <w:t>17,52</w:t>
      </w:r>
      <w:r w:rsidR="004C2648">
        <w:t xml:space="preserve">% u odnosu na isto razdoblje 2024. </w:t>
      </w:r>
      <w:r w:rsidR="00C1172C" w:rsidRPr="00173EDE">
        <w:t xml:space="preserve"> </w:t>
      </w:r>
      <w:r w:rsidR="004C2648">
        <w:t xml:space="preserve">Ostvareni su u iznosu od </w:t>
      </w:r>
      <w:r w:rsidR="00C17D4B">
        <w:t>188.668,96</w:t>
      </w:r>
      <w:r w:rsidR="004C2648">
        <w:t xml:space="preserve"> eura, dok su godinu ranije </w:t>
      </w:r>
      <w:r w:rsidR="00C1172C" w:rsidRPr="00173EDE">
        <w:t>iznos</w:t>
      </w:r>
      <w:r w:rsidR="004C2648">
        <w:t>ili</w:t>
      </w:r>
      <w:r w:rsidR="00C1172C" w:rsidRPr="00173EDE">
        <w:t xml:space="preserve"> </w:t>
      </w:r>
      <w:r w:rsidR="00C17D4B">
        <w:t>228.743,49</w:t>
      </w:r>
      <w:r w:rsidR="00C1172C" w:rsidRPr="00173EDE">
        <w:t xml:space="preserve"> eura</w:t>
      </w:r>
      <w:r w:rsidR="004C2648">
        <w:t xml:space="preserve">. </w:t>
      </w:r>
      <w:r w:rsidR="00C1172C" w:rsidRPr="00173EDE">
        <w:t>Sastoje se od:</w:t>
      </w:r>
    </w:p>
    <w:p w:rsidR="00C1172C" w:rsidRPr="00173EDE" w:rsidRDefault="00C1172C" w:rsidP="00C1172C">
      <w:r w:rsidRPr="00173EDE">
        <w:t xml:space="preserve">- komunalnog doprinosa (6531) </w:t>
      </w:r>
      <w:r w:rsidR="00D06F8F">
        <w:t>koji je naplaćen u</w:t>
      </w:r>
      <w:r w:rsidRPr="00173EDE">
        <w:t xml:space="preserve"> iznosu od </w:t>
      </w:r>
      <w:r w:rsidR="00C17D4B">
        <w:t>34.508,51</w:t>
      </w:r>
      <w:r w:rsidRPr="00173EDE">
        <w:t xml:space="preserve"> eura</w:t>
      </w:r>
      <w:r w:rsidR="00D06F8F">
        <w:t xml:space="preserve"> (godinu ranije je bio 74.845,57 eura)</w:t>
      </w:r>
      <w:r w:rsidRPr="00173EDE">
        <w:t>. Ovaj prihod ovisi o tome koliko će se novih objekata graditi ili koliko će ih se još legalizirati.</w:t>
      </w:r>
    </w:p>
    <w:p w:rsidR="00C1172C" w:rsidRDefault="00C1172C" w:rsidP="00C1172C">
      <w:r w:rsidRPr="00173EDE">
        <w:t>- komunalne naknade (6532)</w:t>
      </w:r>
      <w:r w:rsidR="00D06F8F">
        <w:t xml:space="preserve"> su naplaćene</w:t>
      </w:r>
      <w:r w:rsidRPr="00173EDE">
        <w:t xml:space="preserve"> </w:t>
      </w:r>
      <w:r w:rsidR="004C2648">
        <w:t>u iznosu od</w:t>
      </w:r>
      <w:r w:rsidRPr="00173EDE">
        <w:t xml:space="preserve"> </w:t>
      </w:r>
      <w:r w:rsidR="00C17D4B">
        <w:t>154.160,45</w:t>
      </w:r>
      <w:r w:rsidRPr="00173EDE">
        <w:t xml:space="preserve"> eura</w:t>
      </w:r>
      <w:r w:rsidR="00D06F8F">
        <w:t xml:space="preserve"> (godinu ranije 153.897,92 eura)</w:t>
      </w:r>
      <w:r w:rsidRPr="00173EDE">
        <w:t xml:space="preserve">. </w:t>
      </w:r>
    </w:p>
    <w:p w:rsidR="004C2648" w:rsidRDefault="004C2648" w:rsidP="00C1172C"/>
    <w:p w:rsidR="0001017D" w:rsidRPr="0001017D" w:rsidRDefault="0001017D" w:rsidP="0001017D">
      <w:r w:rsidRPr="0001017D">
        <w:rPr>
          <w:b/>
          <w:u w:val="single"/>
        </w:rPr>
        <w:t xml:space="preserve">5. Prihodi od prodaje proizvoda i robe te pruženih usluga, prihodi od donacija te povrati po protestiranim jamstvima </w:t>
      </w:r>
      <w:r w:rsidR="00BD6C1B" w:rsidRPr="00BD6C1B">
        <w:rPr>
          <w:b/>
          <w:u w:val="single"/>
        </w:rPr>
        <w:t>(</w:t>
      </w:r>
      <w:r w:rsidRPr="0001017D">
        <w:rPr>
          <w:b/>
          <w:u w:val="single"/>
        </w:rPr>
        <w:t>66</w:t>
      </w:r>
      <w:r w:rsidR="00BD6C1B">
        <w:rPr>
          <w:b/>
        </w:rPr>
        <w:t>)</w:t>
      </w:r>
      <w:r w:rsidRPr="0001017D">
        <w:t>, ostvareni su u 202</w:t>
      </w:r>
      <w:r>
        <w:t>5</w:t>
      </w:r>
      <w:r w:rsidRPr="0001017D">
        <w:t xml:space="preserve">. godini u iznosu od </w:t>
      </w:r>
      <w:r>
        <w:rPr>
          <w:b/>
        </w:rPr>
        <w:t>26.338,45</w:t>
      </w:r>
      <w:r w:rsidRPr="0001017D">
        <w:rPr>
          <w:b/>
        </w:rPr>
        <w:t xml:space="preserve"> eura </w:t>
      </w:r>
      <w:r w:rsidRPr="0001017D">
        <w:t xml:space="preserve">(Općina </w:t>
      </w:r>
      <w:r>
        <w:t>15</w:t>
      </w:r>
      <w:r w:rsidRPr="0001017D">
        <w:t>.</w:t>
      </w:r>
      <w:r>
        <w:t>255</w:t>
      </w:r>
      <w:r w:rsidRPr="0001017D">
        <w:t xml:space="preserve">,00 eura + PK </w:t>
      </w:r>
      <w:r>
        <w:t>11.083,45</w:t>
      </w:r>
      <w:r w:rsidRPr="0001017D">
        <w:t xml:space="preserve"> eura), dok su godinu ranije iznosili 18.130,00 eura</w:t>
      </w:r>
      <w:r w:rsidRPr="0001017D">
        <w:rPr>
          <w:b/>
        </w:rPr>
        <w:t xml:space="preserve"> </w:t>
      </w:r>
      <w:r w:rsidRPr="0001017D">
        <w:t xml:space="preserve">(Općina 8.600,00 eura + PK 9.530,00 eura). </w:t>
      </w:r>
    </w:p>
    <w:p w:rsidR="0001017D" w:rsidRPr="0001017D" w:rsidRDefault="0001017D" w:rsidP="0001017D">
      <w:r w:rsidRPr="0001017D">
        <w:t>Ovi prihodi se odnose na:</w:t>
      </w:r>
    </w:p>
    <w:p w:rsidR="0001017D" w:rsidRPr="0001017D" w:rsidRDefault="0001017D" w:rsidP="0001017D">
      <w:r w:rsidRPr="0001017D">
        <w:t xml:space="preserve">- tekuće donacije (6631) ostvarene su kod proračunskih korisnika u iznosu od </w:t>
      </w:r>
      <w:r w:rsidR="0078287A">
        <w:t>11.083,45</w:t>
      </w:r>
      <w:r w:rsidRPr="0001017D">
        <w:t xml:space="preserve"> eura i to kod DV Radost u iznosu od </w:t>
      </w:r>
      <w:r w:rsidR="0078287A">
        <w:t>13</w:t>
      </w:r>
      <w:r w:rsidRPr="0001017D">
        <w:t xml:space="preserve">0,00 eura i u Centru za kulturu u iznosu od </w:t>
      </w:r>
      <w:r w:rsidR="0078287A">
        <w:t>10.893,45</w:t>
      </w:r>
      <w:r w:rsidRPr="0001017D">
        <w:t xml:space="preserve"> eura (ostvarene su od fizičkih i pravnih osoba za manifestaciju Trag u beskraju</w:t>
      </w:r>
      <w:r w:rsidR="00454F34">
        <w:t xml:space="preserve"> 10.793,45 i za opremu za memorijalnu zbirku O.D. 100,00 eura</w:t>
      </w:r>
      <w:r w:rsidRPr="0001017D">
        <w:t xml:space="preserve"> i namjenski su utrošene)</w:t>
      </w:r>
      <w:r w:rsidR="00454F34">
        <w:t xml:space="preserve"> kao i od prodaje knjiga u CZK 60,00 eura</w:t>
      </w:r>
      <w:r w:rsidRPr="0001017D">
        <w:t xml:space="preserve"> i</w:t>
      </w:r>
    </w:p>
    <w:p w:rsidR="0001017D" w:rsidRPr="0001017D" w:rsidRDefault="0001017D" w:rsidP="0001017D">
      <w:r w:rsidRPr="0001017D">
        <w:t>- kapitalne donacije (6632) su u 202</w:t>
      </w:r>
      <w:r>
        <w:t>5</w:t>
      </w:r>
      <w:r w:rsidRPr="0001017D">
        <w:t xml:space="preserve">. ostvarene u iznosu od </w:t>
      </w:r>
      <w:r>
        <w:t>15.255</w:t>
      </w:r>
      <w:r w:rsidRPr="0001017D">
        <w:t xml:space="preserve">,00 eura. To su prihodi Općine koji se odnose na kapitalne donacije građana za asfaltiranje ceste </w:t>
      </w:r>
      <w:r>
        <w:t>Duža-Sprtišća</w:t>
      </w:r>
      <w:r w:rsidRPr="0001017D">
        <w:t xml:space="preserve"> u iznosu od </w:t>
      </w:r>
      <w:r>
        <w:t>6</w:t>
      </w:r>
      <w:r w:rsidRPr="0001017D">
        <w:t>.</w:t>
      </w:r>
      <w:r>
        <w:t>855</w:t>
      </w:r>
      <w:r w:rsidRPr="0001017D">
        <w:t>,00 eura</w:t>
      </w:r>
      <w:r>
        <w:t xml:space="preserve">, za asfaltiranje ceste u Stračinčici </w:t>
      </w:r>
      <w:r w:rsidR="0078287A">
        <w:t>6.400,00 eura</w:t>
      </w:r>
      <w:r w:rsidRPr="0001017D">
        <w:t xml:space="preserve"> i na kapitaln</w:t>
      </w:r>
      <w:r w:rsidR="0078287A">
        <w:t>e</w:t>
      </w:r>
      <w:r w:rsidRPr="0001017D">
        <w:t xml:space="preserve"> donacij</w:t>
      </w:r>
      <w:r w:rsidR="0078287A">
        <w:t>e</w:t>
      </w:r>
      <w:r w:rsidRPr="0001017D">
        <w:t xml:space="preserve"> u iznosu od </w:t>
      </w:r>
      <w:r w:rsidR="0078287A">
        <w:t>2</w:t>
      </w:r>
      <w:r w:rsidRPr="0001017D">
        <w:t>.</w:t>
      </w:r>
      <w:r w:rsidR="0078287A">
        <w:t>0</w:t>
      </w:r>
      <w:r w:rsidRPr="0001017D">
        <w:t>00,00 eura za geodetsk</w:t>
      </w:r>
      <w:r w:rsidR="0078287A">
        <w:t xml:space="preserve">e </w:t>
      </w:r>
      <w:r w:rsidRPr="0001017D">
        <w:t>elaborat</w:t>
      </w:r>
      <w:r w:rsidR="0078287A">
        <w:t>e</w:t>
      </w:r>
      <w:r w:rsidRPr="0001017D">
        <w:t>.</w:t>
      </w:r>
    </w:p>
    <w:p w:rsidR="00315EE8" w:rsidRDefault="00315EE8" w:rsidP="00C00DD4">
      <w:pPr>
        <w:rPr>
          <w:b/>
          <w:u w:val="single"/>
        </w:rPr>
      </w:pPr>
    </w:p>
    <w:p w:rsidR="00917115" w:rsidRDefault="00E065BA" w:rsidP="00C00DD4">
      <w:r w:rsidRPr="007F6418">
        <w:rPr>
          <w:b/>
          <w:u w:val="single"/>
        </w:rPr>
        <w:lastRenderedPageBreak/>
        <w:t>6.</w:t>
      </w:r>
      <w:r w:rsidR="00C00DD4" w:rsidRPr="007F6418">
        <w:rPr>
          <w:b/>
          <w:u w:val="single"/>
        </w:rPr>
        <w:t xml:space="preserve"> Prihod</w:t>
      </w:r>
      <w:r w:rsidR="00133F6F">
        <w:rPr>
          <w:b/>
          <w:u w:val="single"/>
        </w:rPr>
        <w:t>i</w:t>
      </w:r>
      <w:r w:rsidR="00C00DD4" w:rsidRPr="007F6418">
        <w:rPr>
          <w:b/>
          <w:u w:val="single"/>
        </w:rPr>
        <w:t xml:space="preserve"> od kazni, upravnih mjera i ostali prihodi (68)</w:t>
      </w:r>
      <w:r w:rsidR="00C00DD4" w:rsidRPr="00C00DD4">
        <w:t xml:space="preserve"> </w:t>
      </w:r>
      <w:r w:rsidR="00B27BDE">
        <w:t xml:space="preserve">su prihodi Općine koji su ostvareni u iznosu od </w:t>
      </w:r>
      <w:r w:rsidR="00454F34" w:rsidRPr="00454F34">
        <w:rPr>
          <w:b/>
        </w:rPr>
        <w:t>6.952,63</w:t>
      </w:r>
      <w:r w:rsidR="00B27BDE">
        <w:t xml:space="preserve"> eura, dok su </w:t>
      </w:r>
      <w:r w:rsidR="004C5878">
        <w:t xml:space="preserve">u promatranom razdoblju </w:t>
      </w:r>
      <w:r w:rsidR="00F65E90">
        <w:t>prethodne godine</w:t>
      </w:r>
      <w:r w:rsidR="00B27BDE">
        <w:t xml:space="preserve"> iznosili </w:t>
      </w:r>
      <w:r w:rsidR="00454F34">
        <w:t>1.826,52</w:t>
      </w:r>
      <w:r w:rsidR="00B27BDE">
        <w:t xml:space="preserve"> eura. </w:t>
      </w:r>
      <w:r w:rsidR="00133F6F">
        <w:t>Odnose se na:</w:t>
      </w:r>
    </w:p>
    <w:p w:rsidR="00454F34" w:rsidRDefault="00454F34" w:rsidP="00454F34"/>
    <w:p w:rsidR="00454F34" w:rsidRDefault="00454F34" w:rsidP="00454F34">
      <w:r>
        <w:t xml:space="preserve">- </w:t>
      </w:r>
      <w:r w:rsidRPr="00917115">
        <w:rPr>
          <w:u w:val="single"/>
        </w:rPr>
        <w:t>681 Kazne i upravne mjere</w:t>
      </w:r>
      <w:r>
        <w:t xml:space="preserve"> koje su ostvarene u iznosu od 6.730,55 eura dok su godinu ranije iznosile 882,59 eura. </w:t>
      </w:r>
      <w:r w:rsidR="00DD1A29">
        <w:t>Sastoje se od:</w:t>
      </w:r>
    </w:p>
    <w:p w:rsidR="00454F34" w:rsidRDefault="00454F34" w:rsidP="00C00DD4"/>
    <w:p w:rsidR="00454F34" w:rsidRPr="00454F34" w:rsidRDefault="00454F34" w:rsidP="00454F34">
      <w:r w:rsidRPr="00454F34">
        <w:t>- kazne za prekršaje u prometu (6815) u 202</w:t>
      </w:r>
      <w:r>
        <w:t>5</w:t>
      </w:r>
      <w:r w:rsidRPr="00454F34">
        <w:t>.</w:t>
      </w:r>
      <w:r>
        <w:t xml:space="preserve"> su ostvarene u iznosu od 4.715,15 eura, </w:t>
      </w:r>
      <w:r w:rsidR="0089094A">
        <w:t>dok</w:t>
      </w:r>
      <w:r>
        <w:t xml:space="preserve"> godinu ranije nisu</w:t>
      </w:r>
      <w:r w:rsidRPr="00454F34">
        <w:t xml:space="preserve"> ostvareni prihodi po ovoj osnovi</w:t>
      </w:r>
      <w:r w:rsidR="00DD1A29">
        <w:t>,</w:t>
      </w:r>
      <w:r w:rsidRPr="00454F34">
        <w:t xml:space="preserve"> </w:t>
      </w:r>
      <w:r w:rsidR="00C32E6C">
        <w:t>iz razloga što se je prometni redar morao kvalificirati da bi mogao naplaćivati prometne prekršaje.</w:t>
      </w:r>
    </w:p>
    <w:p w:rsidR="00454F34" w:rsidRPr="00454F34" w:rsidRDefault="00454F34" w:rsidP="00454F34">
      <w:r w:rsidRPr="00454F34">
        <w:t>- upravne mjere, naplaćeni troškovi prisilne naplate (6818) u 202</w:t>
      </w:r>
      <w:r>
        <w:t>5</w:t>
      </w:r>
      <w:r w:rsidRPr="00454F34">
        <w:t xml:space="preserve">. su ostvareni u iznosu od </w:t>
      </w:r>
      <w:r>
        <w:t>1.442,32</w:t>
      </w:r>
      <w:r w:rsidRPr="00454F34">
        <w:t xml:space="preserve"> eura, dok su godinu ranije iznosili 690,04 eura,</w:t>
      </w:r>
    </w:p>
    <w:p w:rsidR="00C32E6C" w:rsidRDefault="00454F34" w:rsidP="00454F34">
      <w:r w:rsidRPr="00454F34">
        <w:t xml:space="preserve">- ostale kazne (6819) naplaćene su u iznosu od </w:t>
      </w:r>
      <w:r>
        <w:t>573,08</w:t>
      </w:r>
      <w:r w:rsidRPr="00454F34">
        <w:t xml:space="preserve"> eura (</w:t>
      </w:r>
      <w:r w:rsidR="00DD1A29">
        <w:t>2 kazne za neovlašteno korištenje pomorskog dobra</w:t>
      </w:r>
      <w:r w:rsidRPr="00454F34">
        <w:t>), dok su godinu ranije iznosile 192,55 eura (</w:t>
      </w:r>
      <w:r w:rsidR="00DD1A29" w:rsidRPr="00454F34">
        <w:t>kazna, trošak postupka i uklanjanja predmeta s plaže prema prekršajnom nalogu</w:t>
      </w:r>
      <w:r w:rsidR="00DD1A29">
        <w:t>)</w:t>
      </w:r>
      <w:r w:rsidR="0089094A">
        <w:t>.</w:t>
      </w:r>
    </w:p>
    <w:p w:rsidR="00454F34" w:rsidRDefault="00454F34" w:rsidP="00C00DD4"/>
    <w:p w:rsidR="00133F6F" w:rsidRDefault="00133F6F" w:rsidP="00C00DD4">
      <w:r>
        <w:t xml:space="preserve">- </w:t>
      </w:r>
      <w:r w:rsidRPr="00917115">
        <w:rPr>
          <w:u w:val="single"/>
        </w:rPr>
        <w:t>683 Ostali prihodi</w:t>
      </w:r>
      <w:r w:rsidR="00CB257A">
        <w:t xml:space="preserve"> </w:t>
      </w:r>
      <w:r w:rsidR="004C2648">
        <w:t>su ostvareni u iznosu od</w:t>
      </w:r>
      <w:r w:rsidR="00CB257A">
        <w:t xml:space="preserve"> </w:t>
      </w:r>
      <w:r w:rsidR="00B32D51">
        <w:t>222,08 eura</w:t>
      </w:r>
      <w:r w:rsidR="00E25C5C">
        <w:t xml:space="preserve">, a godinu ranije su iznosili </w:t>
      </w:r>
      <w:r w:rsidR="00DD1A29">
        <w:t>943,93</w:t>
      </w:r>
      <w:r w:rsidR="00B32D51">
        <w:t xml:space="preserve"> eura</w:t>
      </w:r>
      <w:r w:rsidR="00E25C5C">
        <w:t>.</w:t>
      </w:r>
    </w:p>
    <w:p w:rsidR="00A93C74" w:rsidRPr="00C00DD4" w:rsidRDefault="00A93C74" w:rsidP="00C00DD4"/>
    <w:p w:rsidR="00DD1A29" w:rsidRDefault="006E17DA" w:rsidP="00B27BDE">
      <w:r w:rsidRPr="006E17DA">
        <w:rPr>
          <w:b/>
        </w:rPr>
        <w:t xml:space="preserve">I.A.2.) </w:t>
      </w:r>
      <w:r w:rsidR="0054602C" w:rsidRPr="006E17DA">
        <w:rPr>
          <w:b/>
        </w:rPr>
        <w:t>P</w:t>
      </w:r>
      <w:r w:rsidR="0089094A">
        <w:rPr>
          <w:b/>
        </w:rPr>
        <w:t>RIHODI</w:t>
      </w:r>
      <w:r w:rsidR="0054602C" w:rsidRPr="006E17DA">
        <w:rPr>
          <w:b/>
        </w:rPr>
        <w:t xml:space="preserve"> od prodaje nefinancijske imovine (7)</w:t>
      </w:r>
      <w:r w:rsidR="0054602C" w:rsidRPr="006E17DA">
        <w:t xml:space="preserve"> </w:t>
      </w:r>
      <w:r w:rsidR="00B27BDE">
        <w:t xml:space="preserve">su prihodi Općine, </w:t>
      </w:r>
      <w:r w:rsidR="00B27BDE" w:rsidRPr="00173EDE">
        <w:t xml:space="preserve">ostvareni su u iznosu od </w:t>
      </w:r>
      <w:r w:rsidR="00DD1A29" w:rsidRPr="0089094A">
        <w:rPr>
          <w:b/>
          <w:u w:val="single"/>
        </w:rPr>
        <w:t>26.794,76</w:t>
      </w:r>
      <w:r w:rsidR="00B27BDE" w:rsidRPr="0089094A">
        <w:rPr>
          <w:b/>
          <w:u w:val="single"/>
        </w:rPr>
        <w:t xml:space="preserve"> eura</w:t>
      </w:r>
      <w:r w:rsidR="00B27BDE" w:rsidRPr="00173EDE">
        <w:t xml:space="preserve">, dok su godinu ranije iznosili </w:t>
      </w:r>
      <w:r w:rsidR="00DD1A29">
        <w:t>1.062,60</w:t>
      </w:r>
      <w:r w:rsidR="004C2648" w:rsidRPr="00173EDE">
        <w:t xml:space="preserve"> </w:t>
      </w:r>
      <w:r w:rsidR="00B27BDE" w:rsidRPr="00173EDE">
        <w:t>eura</w:t>
      </w:r>
      <w:r w:rsidR="00E3274C">
        <w:t>.</w:t>
      </w:r>
      <w:r w:rsidR="00B27BDE" w:rsidRPr="00173EDE">
        <w:t xml:space="preserve"> To su</w:t>
      </w:r>
      <w:r w:rsidR="00DD1A29">
        <w:t>:</w:t>
      </w:r>
    </w:p>
    <w:p w:rsidR="00600D62" w:rsidRDefault="00DD1A29" w:rsidP="00B27BDE">
      <w:r>
        <w:t xml:space="preserve">- 711 Prihodi od prodaje zemljišta - u 2025. su </w:t>
      </w:r>
      <w:r w:rsidR="0089094A">
        <w:t xml:space="preserve">od prodaje jedne okućnice u Zubaća vali, </w:t>
      </w:r>
      <w:r>
        <w:t>ostvareni u iznosu od 25.500,00 eura</w:t>
      </w:r>
      <w:r w:rsidR="00600D62">
        <w:t>, a u godini ranije ih nije bilo.</w:t>
      </w:r>
    </w:p>
    <w:p w:rsidR="00B27BDE" w:rsidRPr="00173EDE" w:rsidRDefault="00600D62" w:rsidP="00B27BDE">
      <w:r>
        <w:t>- 721 P</w:t>
      </w:r>
      <w:r w:rsidR="00B27BDE" w:rsidRPr="00173EDE">
        <w:t>rihodi od prodaje stanova u društvenom vlasništvu</w:t>
      </w:r>
      <w:r>
        <w:t xml:space="preserve"> u 2025. su ostvareni u iznosu od 1.294,76 eura, a godinu ranije 1.062,60 eura.</w:t>
      </w:r>
    </w:p>
    <w:p w:rsidR="001F2EB8" w:rsidRDefault="001F2EB8" w:rsidP="00B27BDE">
      <w:pPr>
        <w:rPr>
          <w:b/>
        </w:rPr>
      </w:pPr>
    </w:p>
    <w:p w:rsidR="00D451B5" w:rsidRDefault="00D451B5" w:rsidP="00D451B5">
      <w:pPr>
        <w:keepNext/>
        <w:spacing w:after="120"/>
        <w:rPr>
          <w:b/>
          <w:bCs/>
        </w:rPr>
      </w:pPr>
      <w:r>
        <w:rPr>
          <w:b/>
          <w:bCs/>
        </w:rPr>
        <w:t xml:space="preserve">Tablica </w:t>
      </w:r>
      <w:r w:rsidR="007C7D22">
        <w:rPr>
          <w:b/>
          <w:bCs/>
        </w:rPr>
        <w:t>1</w:t>
      </w:r>
      <w:r>
        <w:rPr>
          <w:b/>
          <w:bCs/>
        </w:rPr>
        <w:t xml:space="preserve">: Ukupni prihodi općinskog proračuna u 2024. i 2025. </w:t>
      </w:r>
    </w:p>
    <w:tbl>
      <w:tblPr>
        <w:tblStyle w:val="TableGrid"/>
        <w:tblW w:w="10733" w:type="dxa"/>
        <w:tblLook w:val="04A0" w:firstRow="1" w:lastRow="0" w:firstColumn="1" w:lastColumn="0" w:noHBand="0" w:noVBand="1"/>
      </w:tblPr>
      <w:tblGrid>
        <w:gridCol w:w="4248"/>
        <w:gridCol w:w="1384"/>
        <w:gridCol w:w="1384"/>
        <w:gridCol w:w="1450"/>
        <w:gridCol w:w="1133"/>
        <w:gridCol w:w="1134"/>
      </w:tblGrid>
      <w:tr w:rsidR="002D0C37" w:rsidRPr="00332E82" w:rsidTr="00332E82">
        <w:trPr>
          <w:trHeight w:val="255"/>
        </w:trPr>
        <w:tc>
          <w:tcPr>
            <w:tcW w:w="4248" w:type="dxa"/>
            <w:noWrap/>
            <w:hideMark/>
          </w:tcPr>
          <w:p w:rsidR="002D0C37" w:rsidRPr="00332E82" w:rsidRDefault="002D0C37" w:rsidP="002D0C37">
            <w:pPr>
              <w:jc w:val="center"/>
              <w:rPr>
                <w:b/>
                <w:bCs/>
                <w:sz w:val="20"/>
                <w:szCs w:val="20"/>
              </w:rPr>
            </w:pPr>
            <w:r w:rsidRPr="00332E82">
              <w:rPr>
                <w:b/>
                <w:bCs/>
                <w:sz w:val="20"/>
                <w:szCs w:val="20"/>
              </w:rPr>
              <w:t>Račun / opis</w:t>
            </w:r>
          </w:p>
        </w:tc>
        <w:tc>
          <w:tcPr>
            <w:tcW w:w="1384" w:type="dxa"/>
            <w:noWrap/>
            <w:hideMark/>
          </w:tcPr>
          <w:p w:rsidR="002D0C37" w:rsidRPr="00332E82" w:rsidRDefault="002D0C37" w:rsidP="002D0C37">
            <w:pPr>
              <w:jc w:val="center"/>
              <w:rPr>
                <w:b/>
                <w:bCs/>
                <w:sz w:val="20"/>
                <w:szCs w:val="20"/>
              </w:rPr>
            </w:pPr>
            <w:r w:rsidRPr="00332E82">
              <w:rPr>
                <w:b/>
                <w:bCs/>
                <w:sz w:val="20"/>
                <w:szCs w:val="20"/>
              </w:rPr>
              <w:t>Izvršenje 2024.</w:t>
            </w:r>
          </w:p>
        </w:tc>
        <w:tc>
          <w:tcPr>
            <w:tcW w:w="1384" w:type="dxa"/>
            <w:noWrap/>
            <w:hideMark/>
          </w:tcPr>
          <w:p w:rsidR="002D0C37" w:rsidRPr="00332E82" w:rsidRDefault="002D0C37" w:rsidP="002D0C37">
            <w:pPr>
              <w:jc w:val="center"/>
              <w:rPr>
                <w:b/>
                <w:bCs/>
                <w:sz w:val="20"/>
                <w:szCs w:val="20"/>
              </w:rPr>
            </w:pPr>
            <w:r w:rsidRPr="00332E82">
              <w:rPr>
                <w:b/>
                <w:bCs/>
                <w:sz w:val="20"/>
                <w:szCs w:val="20"/>
              </w:rPr>
              <w:t>Izvorni plan 2025.</w:t>
            </w:r>
          </w:p>
        </w:tc>
        <w:tc>
          <w:tcPr>
            <w:tcW w:w="1450" w:type="dxa"/>
            <w:noWrap/>
            <w:hideMark/>
          </w:tcPr>
          <w:p w:rsidR="002D0C37" w:rsidRPr="00332E82" w:rsidRDefault="002D0C37" w:rsidP="002D0C37">
            <w:pPr>
              <w:jc w:val="center"/>
              <w:rPr>
                <w:b/>
                <w:bCs/>
                <w:sz w:val="20"/>
                <w:szCs w:val="20"/>
              </w:rPr>
            </w:pPr>
            <w:r w:rsidRPr="00332E82">
              <w:rPr>
                <w:b/>
                <w:bCs/>
                <w:sz w:val="20"/>
                <w:szCs w:val="20"/>
              </w:rPr>
              <w:t>Izvršenje 2025.</w:t>
            </w:r>
          </w:p>
        </w:tc>
        <w:tc>
          <w:tcPr>
            <w:tcW w:w="1133" w:type="dxa"/>
            <w:noWrap/>
            <w:hideMark/>
          </w:tcPr>
          <w:p w:rsidR="002D0C37" w:rsidRPr="00332E82" w:rsidRDefault="002D0C37" w:rsidP="002D0C37">
            <w:pPr>
              <w:jc w:val="center"/>
              <w:rPr>
                <w:b/>
                <w:bCs/>
                <w:sz w:val="20"/>
                <w:szCs w:val="20"/>
              </w:rPr>
            </w:pPr>
            <w:r w:rsidRPr="00332E82">
              <w:rPr>
                <w:b/>
                <w:bCs/>
                <w:sz w:val="20"/>
                <w:szCs w:val="20"/>
              </w:rPr>
              <w:t>Indeks  3/1</w:t>
            </w:r>
          </w:p>
        </w:tc>
        <w:tc>
          <w:tcPr>
            <w:tcW w:w="1134" w:type="dxa"/>
            <w:noWrap/>
            <w:hideMark/>
          </w:tcPr>
          <w:p w:rsidR="002D0C37" w:rsidRPr="00332E82" w:rsidRDefault="002D0C37" w:rsidP="002D0C37">
            <w:pPr>
              <w:jc w:val="center"/>
              <w:rPr>
                <w:b/>
                <w:bCs/>
                <w:sz w:val="20"/>
                <w:szCs w:val="20"/>
              </w:rPr>
            </w:pPr>
            <w:r w:rsidRPr="00332E82">
              <w:rPr>
                <w:b/>
                <w:bCs/>
                <w:sz w:val="20"/>
                <w:szCs w:val="20"/>
              </w:rPr>
              <w:t>Indeks  3/2</w:t>
            </w:r>
          </w:p>
        </w:tc>
      </w:tr>
      <w:tr w:rsidR="002F20CA" w:rsidRPr="00332E82" w:rsidTr="00332E82">
        <w:trPr>
          <w:trHeight w:val="255"/>
        </w:trPr>
        <w:tc>
          <w:tcPr>
            <w:tcW w:w="4248" w:type="dxa"/>
            <w:noWrap/>
            <w:hideMark/>
          </w:tcPr>
          <w:p w:rsidR="002F20CA" w:rsidRPr="00332E82" w:rsidRDefault="002F20CA" w:rsidP="00BD6C1B">
            <w:pPr>
              <w:rPr>
                <w:b/>
                <w:bCs/>
                <w:sz w:val="20"/>
                <w:szCs w:val="20"/>
              </w:rPr>
            </w:pPr>
          </w:p>
        </w:tc>
        <w:tc>
          <w:tcPr>
            <w:tcW w:w="1384" w:type="dxa"/>
            <w:noWrap/>
            <w:hideMark/>
          </w:tcPr>
          <w:p w:rsidR="002F20CA" w:rsidRPr="00332E82" w:rsidRDefault="002F20CA" w:rsidP="00BD6C1B">
            <w:pPr>
              <w:jc w:val="center"/>
              <w:rPr>
                <w:b/>
                <w:bCs/>
                <w:sz w:val="20"/>
                <w:szCs w:val="20"/>
              </w:rPr>
            </w:pPr>
            <w:r w:rsidRPr="00332E82">
              <w:rPr>
                <w:b/>
                <w:bCs/>
                <w:sz w:val="20"/>
                <w:szCs w:val="20"/>
              </w:rPr>
              <w:t>1</w:t>
            </w:r>
            <w:r w:rsidR="00332E82" w:rsidRPr="00332E82">
              <w:rPr>
                <w:b/>
                <w:bCs/>
                <w:sz w:val="20"/>
                <w:szCs w:val="20"/>
              </w:rPr>
              <w:t>.</w:t>
            </w:r>
          </w:p>
        </w:tc>
        <w:tc>
          <w:tcPr>
            <w:tcW w:w="1384" w:type="dxa"/>
            <w:noWrap/>
            <w:hideMark/>
          </w:tcPr>
          <w:p w:rsidR="002F20CA" w:rsidRPr="00332E82" w:rsidRDefault="002F20CA" w:rsidP="00BD6C1B">
            <w:pPr>
              <w:jc w:val="center"/>
              <w:rPr>
                <w:b/>
                <w:bCs/>
                <w:sz w:val="20"/>
                <w:szCs w:val="20"/>
              </w:rPr>
            </w:pPr>
            <w:r w:rsidRPr="00332E82">
              <w:rPr>
                <w:b/>
                <w:bCs/>
                <w:sz w:val="20"/>
                <w:szCs w:val="20"/>
              </w:rPr>
              <w:t>2</w:t>
            </w:r>
            <w:r w:rsidR="00332E82" w:rsidRPr="00332E82">
              <w:rPr>
                <w:b/>
                <w:bCs/>
                <w:sz w:val="20"/>
                <w:szCs w:val="20"/>
              </w:rPr>
              <w:t>.</w:t>
            </w:r>
          </w:p>
        </w:tc>
        <w:tc>
          <w:tcPr>
            <w:tcW w:w="1450" w:type="dxa"/>
            <w:noWrap/>
            <w:hideMark/>
          </w:tcPr>
          <w:p w:rsidR="002F20CA" w:rsidRPr="00332E82" w:rsidRDefault="002F20CA" w:rsidP="00BD6C1B">
            <w:pPr>
              <w:jc w:val="center"/>
              <w:rPr>
                <w:b/>
                <w:bCs/>
                <w:sz w:val="20"/>
                <w:szCs w:val="20"/>
              </w:rPr>
            </w:pPr>
            <w:r w:rsidRPr="00332E82">
              <w:rPr>
                <w:b/>
                <w:bCs/>
                <w:sz w:val="20"/>
                <w:szCs w:val="20"/>
              </w:rPr>
              <w:t>3</w:t>
            </w:r>
            <w:r w:rsidR="00332E82" w:rsidRPr="00332E82">
              <w:rPr>
                <w:b/>
                <w:bCs/>
                <w:sz w:val="20"/>
                <w:szCs w:val="20"/>
              </w:rPr>
              <w:t>.</w:t>
            </w:r>
          </w:p>
        </w:tc>
        <w:tc>
          <w:tcPr>
            <w:tcW w:w="1133" w:type="dxa"/>
            <w:noWrap/>
            <w:hideMark/>
          </w:tcPr>
          <w:p w:rsidR="002F20CA" w:rsidRPr="00332E82" w:rsidRDefault="002F20CA" w:rsidP="00BD6C1B">
            <w:pPr>
              <w:jc w:val="center"/>
              <w:rPr>
                <w:b/>
                <w:bCs/>
                <w:sz w:val="20"/>
                <w:szCs w:val="20"/>
              </w:rPr>
            </w:pPr>
            <w:r w:rsidRPr="00332E82">
              <w:rPr>
                <w:b/>
                <w:bCs/>
                <w:sz w:val="20"/>
                <w:szCs w:val="20"/>
              </w:rPr>
              <w:t>4</w:t>
            </w:r>
            <w:r w:rsidR="00332E82" w:rsidRPr="00332E82">
              <w:rPr>
                <w:b/>
                <w:bCs/>
                <w:sz w:val="20"/>
                <w:szCs w:val="20"/>
              </w:rPr>
              <w:t>.</w:t>
            </w:r>
          </w:p>
        </w:tc>
        <w:tc>
          <w:tcPr>
            <w:tcW w:w="1134" w:type="dxa"/>
            <w:noWrap/>
            <w:hideMark/>
          </w:tcPr>
          <w:p w:rsidR="002F20CA" w:rsidRPr="00332E82" w:rsidRDefault="002F20CA" w:rsidP="00BD6C1B">
            <w:pPr>
              <w:jc w:val="center"/>
              <w:rPr>
                <w:b/>
                <w:bCs/>
                <w:sz w:val="20"/>
                <w:szCs w:val="20"/>
              </w:rPr>
            </w:pPr>
            <w:r w:rsidRPr="00332E82">
              <w:rPr>
                <w:b/>
                <w:bCs/>
                <w:sz w:val="20"/>
                <w:szCs w:val="20"/>
              </w:rPr>
              <w:t>5</w:t>
            </w:r>
            <w:r w:rsidR="00332E82" w:rsidRPr="00332E82">
              <w:rPr>
                <w:b/>
                <w:bCs/>
                <w:sz w:val="20"/>
                <w:szCs w:val="20"/>
              </w:rPr>
              <w:t>.</w:t>
            </w:r>
          </w:p>
        </w:tc>
      </w:tr>
      <w:tr w:rsidR="00332E82" w:rsidRPr="00332E82" w:rsidTr="00332E82">
        <w:trPr>
          <w:trHeight w:val="255"/>
        </w:trPr>
        <w:tc>
          <w:tcPr>
            <w:tcW w:w="4248" w:type="dxa"/>
            <w:shd w:val="clear" w:color="auto" w:fill="948A54" w:themeFill="background2" w:themeFillShade="80"/>
            <w:noWrap/>
          </w:tcPr>
          <w:p w:rsidR="00332E82" w:rsidRPr="00332E82" w:rsidRDefault="00332E82" w:rsidP="00BD6C1B">
            <w:pPr>
              <w:rPr>
                <w:b/>
                <w:bCs/>
                <w:sz w:val="20"/>
                <w:szCs w:val="20"/>
              </w:rPr>
            </w:pPr>
            <w:r w:rsidRPr="00332E82">
              <w:rPr>
                <w:b/>
                <w:bCs/>
                <w:sz w:val="20"/>
                <w:szCs w:val="20"/>
              </w:rPr>
              <w:t>UKUPNI PRIHODI</w:t>
            </w:r>
          </w:p>
        </w:tc>
        <w:tc>
          <w:tcPr>
            <w:tcW w:w="1384" w:type="dxa"/>
            <w:shd w:val="clear" w:color="auto" w:fill="948A54" w:themeFill="background2" w:themeFillShade="80"/>
            <w:noWrap/>
          </w:tcPr>
          <w:p w:rsidR="00332E82" w:rsidRPr="00332E82" w:rsidRDefault="00332E82" w:rsidP="005C4E18">
            <w:pPr>
              <w:jc w:val="right"/>
              <w:rPr>
                <w:b/>
                <w:bCs/>
                <w:sz w:val="20"/>
                <w:szCs w:val="20"/>
              </w:rPr>
            </w:pPr>
            <w:r w:rsidRPr="00332E82">
              <w:rPr>
                <w:b/>
                <w:bCs/>
                <w:sz w:val="20"/>
                <w:szCs w:val="20"/>
              </w:rPr>
              <w:t>3.590.194,08</w:t>
            </w:r>
          </w:p>
        </w:tc>
        <w:tc>
          <w:tcPr>
            <w:tcW w:w="1384" w:type="dxa"/>
            <w:shd w:val="clear" w:color="auto" w:fill="948A54" w:themeFill="background2" w:themeFillShade="80"/>
            <w:noWrap/>
          </w:tcPr>
          <w:p w:rsidR="00332E82" w:rsidRPr="00332E82" w:rsidRDefault="00332E82" w:rsidP="005C4E18">
            <w:pPr>
              <w:jc w:val="right"/>
              <w:rPr>
                <w:b/>
                <w:bCs/>
                <w:sz w:val="20"/>
                <w:szCs w:val="20"/>
              </w:rPr>
            </w:pPr>
            <w:r w:rsidRPr="00332E82">
              <w:rPr>
                <w:b/>
                <w:bCs/>
                <w:sz w:val="20"/>
                <w:szCs w:val="20"/>
              </w:rPr>
              <w:t>4.310.521,00</w:t>
            </w:r>
          </w:p>
        </w:tc>
        <w:tc>
          <w:tcPr>
            <w:tcW w:w="1450" w:type="dxa"/>
            <w:shd w:val="clear" w:color="auto" w:fill="948A54" w:themeFill="background2" w:themeFillShade="80"/>
            <w:noWrap/>
          </w:tcPr>
          <w:p w:rsidR="00332E82" w:rsidRPr="00332E82" w:rsidRDefault="00332E82" w:rsidP="005C4E18">
            <w:pPr>
              <w:jc w:val="right"/>
              <w:rPr>
                <w:b/>
                <w:bCs/>
                <w:sz w:val="20"/>
                <w:szCs w:val="20"/>
              </w:rPr>
            </w:pPr>
            <w:r w:rsidRPr="00332E82">
              <w:rPr>
                <w:b/>
                <w:bCs/>
                <w:sz w:val="20"/>
                <w:szCs w:val="20"/>
              </w:rPr>
              <w:t>3.815.301,88</w:t>
            </w:r>
          </w:p>
        </w:tc>
        <w:tc>
          <w:tcPr>
            <w:tcW w:w="1133" w:type="dxa"/>
            <w:shd w:val="clear" w:color="auto" w:fill="948A54" w:themeFill="background2" w:themeFillShade="80"/>
            <w:noWrap/>
          </w:tcPr>
          <w:p w:rsidR="00332E82" w:rsidRPr="00332E82" w:rsidRDefault="00332E82" w:rsidP="005C4E18">
            <w:pPr>
              <w:jc w:val="right"/>
              <w:rPr>
                <w:b/>
                <w:bCs/>
                <w:sz w:val="20"/>
                <w:szCs w:val="20"/>
              </w:rPr>
            </w:pPr>
            <w:r w:rsidRPr="00332E82">
              <w:rPr>
                <w:b/>
                <w:bCs/>
                <w:sz w:val="20"/>
                <w:szCs w:val="20"/>
              </w:rPr>
              <w:t>106,27%</w:t>
            </w:r>
          </w:p>
        </w:tc>
        <w:tc>
          <w:tcPr>
            <w:tcW w:w="1134" w:type="dxa"/>
            <w:shd w:val="clear" w:color="auto" w:fill="948A54" w:themeFill="background2" w:themeFillShade="80"/>
            <w:noWrap/>
          </w:tcPr>
          <w:p w:rsidR="00332E82" w:rsidRPr="00332E82" w:rsidRDefault="00332E82" w:rsidP="005C4E18">
            <w:pPr>
              <w:jc w:val="right"/>
              <w:rPr>
                <w:b/>
                <w:bCs/>
                <w:sz w:val="20"/>
                <w:szCs w:val="20"/>
              </w:rPr>
            </w:pPr>
            <w:r w:rsidRPr="00332E82">
              <w:rPr>
                <w:b/>
                <w:bCs/>
                <w:sz w:val="20"/>
                <w:szCs w:val="20"/>
              </w:rPr>
              <w:t>88,51%</w:t>
            </w:r>
          </w:p>
        </w:tc>
      </w:tr>
      <w:tr w:rsidR="002D0C37" w:rsidRPr="00332E82" w:rsidTr="00332E82">
        <w:trPr>
          <w:trHeight w:val="255"/>
        </w:trPr>
        <w:tc>
          <w:tcPr>
            <w:tcW w:w="4248" w:type="dxa"/>
            <w:shd w:val="clear" w:color="auto" w:fill="C4BC96" w:themeFill="background2" w:themeFillShade="BF"/>
            <w:noWrap/>
            <w:hideMark/>
          </w:tcPr>
          <w:p w:rsidR="002D0C37" w:rsidRPr="00332E82" w:rsidRDefault="002D0C37" w:rsidP="002D0C37">
            <w:pPr>
              <w:rPr>
                <w:b/>
                <w:bCs/>
                <w:sz w:val="20"/>
                <w:szCs w:val="20"/>
              </w:rPr>
            </w:pPr>
            <w:r w:rsidRPr="00332E82">
              <w:rPr>
                <w:b/>
                <w:bCs/>
                <w:sz w:val="20"/>
                <w:szCs w:val="20"/>
              </w:rPr>
              <w:t>6 Prihodi poslovanja</w:t>
            </w:r>
          </w:p>
        </w:tc>
        <w:tc>
          <w:tcPr>
            <w:tcW w:w="1384" w:type="dxa"/>
            <w:shd w:val="clear" w:color="auto" w:fill="C4BC96" w:themeFill="background2" w:themeFillShade="BF"/>
            <w:noWrap/>
            <w:hideMark/>
          </w:tcPr>
          <w:p w:rsidR="002D0C37" w:rsidRPr="00332E82" w:rsidRDefault="002D0C37" w:rsidP="002D0C37">
            <w:pPr>
              <w:jc w:val="right"/>
              <w:rPr>
                <w:b/>
                <w:bCs/>
                <w:sz w:val="20"/>
                <w:szCs w:val="20"/>
              </w:rPr>
            </w:pPr>
            <w:r w:rsidRPr="00332E82">
              <w:rPr>
                <w:b/>
                <w:bCs/>
                <w:sz w:val="20"/>
                <w:szCs w:val="20"/>
              </w:rPr>
              <w:t>3.589.131,48</w:t>
            </w:r>
          </w:p>
        </w:tc>
        <w:tc>
          <w:tcPr>
            <w:tcW w:w="1384" w:type="dxa"/>
            <w:shd w:val="clear" w:color="auto" w:fill="C4BC96" w:themeFill="background2" w:themeFillShade="BF"/>
            <w:noWrap/>
            <w:hideMark/>
          </w:tcPr>
          <w:p w:rsidR="002D0C37" w:rsidRPr="00332E82" w:rsidRDefault="002D0C37" w:rsidP="002D0C37">
            <w:pPr>
              <w:jc w:val="right"/>
              <w:rPr>
                <w:b/>
                <w:bCs/>
                <w:sz w:val="20"/>
                <w:szCs w:val="20"/>
              </w:rPr>
            </w:pPr>
            <w:r w:rsidRPr="00332E82">
              <w:rPr>
                <w:b/>
                <w:bCs/>
                <w:sz w:val="20"/>
                <w:szCs w:val="20"/>
              </w:rPr>
              <w:t>4.283.521,00</w:t>
            </w:r>
          </w:p>
        </w:tc>
        <w:tc>
          <w:tcPr>
            <w:tcW w:w="1450" w:type="dxa"/>
            <w:shd w:val="clear" w:color="auto" w:fill="C4BC96" w:themeFill="background2" w:themeFillShade="BF"/>
            <w:noWrap/>
            <w:hideMark/>
          </w:tcPr>
          <w:p w:rsidR="002D0C37" w:rsidRPr="00332E82" w:rsidRDefault="002D0C37" w:rsidP="002D0C37">
            <w:pPr>
              <w:jc w:val="right"/>
              <w:rPr>
                <w:b/>
                <w:bCs/>
                <w:sz w:val="20"/>
                <w:szCs w:val="20"/>
              </w:rPr>
            </w:pPr>
            <w:r w:rsidRPr="00332E82">
              <w:rPr>
                <w:b/>
                <w:bCs/>
                <w:sz w:val="20"/>
                <w:szCs w:val="20"/>
              </w:rPr>
              <w:t>3.788.507,12</w:t>
            </w:r>
          </w:p>
        </w:tc>
        <w:tc>
          <w:tcPr>
            <w:tcW w:w="1133" w:type="dxa"/>
            <w:shd w:val="clear" w:color="auto" w:fill="C4BC96" w:themeFill="background2" w:themeFillShade="BF"/>
            <w:noWrap/>
            <w:hideMark/>
          </w:tcPr>
          <w:p w:rsidR="002D0C37" w:rsidRPr="00332E82" w:rsidRDefault="002D0C37" w:rsidP="002D0C37">
            <w:pPr>
              <w:jc w:val="right"/>
              <w:rPr>
                <w:b/>
                <w:bCs/>
                <w:sz w:val="20"/>
                <w:szCs w:val="20"/>
              </w:rPr>
            </w:pPr>
            <w:r w:rsidRPr="00332E82">
              <w:rPr>
                <w:b/>
                <w:bCs/>
                <w:sz w:val="20"/>
                <w:szCs w:val="20"/>
              </w:rPr>
              <w:t>105,55%</w:t>
            </w:r>
          </w:p>
        </w:tc>
        <w:tc>
          <w:tcPr>
            <w:tcW w:w="1134" w:type="dxa"/>
            <w:shd w:val="clear" w:color="auto" w:fill="C4BC96" w:themeFill="background2" w:themeFillShade="BF"/>
            <w:noWrap/>
            <w:hideMark/>
          </w:tcPr>
          <w:p w:rsidR="002D0C37" w:rsidRPr="00332E82" w:rsidRDefault="002D0C37" w:rsidP="002D0C37">
            <w:pPr>
              <w:jc w:val="right"/>
              <w:rPr>
                <w:b/>
                <w:bCs/>
                <w:sz w:val="20"/>
                <w:szCs w:val="20"/>
              </w:rPr>
            </w:pPr>
            <w:r w:rsidRPr="00332E82">
              <w:rPr>
                <w:b/>
                <w:bCs/>
                <w:sz w:val="20"/>
                <w:szCs w:val="20"/>
              </w:rPr>
              <w:t>88,44%</w:t>
            </w:r>
          </w:p>
        </w:tc>
      </w:tr>
      <w:tr w:rsidR="002D0C37" w:rsidRPr="00332E82" w:rsidTr="00332E82">
        <w:trPr>
          <w:trHeight w:val="255"/>
        </w:trPr>
        <w:tc>
          <w:tcPr>
            <w:tcW w:w="4248" w:type="dxa"/>
            <w:noWrap/>
            <w:hideMark/>
          </w:tcPr>
          <w:p w:rsidR="002D0C37" w:rsidRPr="00332E82" w:rsidRDefault="002D0C37" w:rsidP="002D0C37">
            <w:pPr>
              <w:rPr>
                <w:b/>
                <w:bCs/>
                <w:sz w:val="20"/>
                <w:szCs w:val="20"/>
              </w:rPr>
            </w:pPr>
            <w:r w:rsidRPr="00332E82">
              <w:rPr>
                <w:b/>
                <w:bCs/>
                <w:sz w:val="20"/>
                <w:szCs w:val="20"/>
              </w:rPr>
              <w:t>61 Prihodi od poreza</w:t>
            </w:r>
          </w:p>
        </w:tc>
        <w:tc>
          <w:tcPr>
            <w:tcW w:w="1384" w:type="dxa"/>
            <w:noWrap/>
            <w:hideMark/>
          </w:tcPr>
          <w:p w:rsidR="002D0C37" w:rsidRPr="00332E82" w:rsidRDefault="002D0C37" w:rsidP="002D0C37">
            <w:pPr>
              <w:jc w:val="right"/>
              <w:rPr>
                <w:b/>
                <w:bCs/>
                <w:sz w:val="20"/>
                <w:szCs w:val="20"/>
              </w:rPr>
            </w:pPr>
            <w:r w:rsidRPr="00332E82">
              <w:rPr>
                <w:b/>
                <w:bCs/>
                <w:sz w:val="20"/>
                <w:szCs w:val="20"/>
              </w:rPr>
              <w:t>1.649.835,74</w:t>
            </w:r>
          </w:p>
        </w:tc>
        <w:tc>
          <w:tcPr>
            <w:tcW w:w="1384" w:type="dxa"/>
            <w:noWrap/>
            <w:hideMark/>
          </w:tcPr>
          <w:p w:rsidR="002D0C37" w:rsidRPr="00332E82" w:rsidRDefault="002D0C37" w:rsidP="002D0C37">
            <w:pPr>
              <w:jc w:val="right"/>
              <w:rPr>
                <w:b/>
                <w:bCs/>
                <w:sz w:val="20"/>
                <w:szCs w:val="20"/>
              </w:rPr>
            </w:pPr>
            <w:r w:rsidRPr="00332E82">
              <w:rPr>
                <w:b/>
                <w:bCs/>
                <w:sz w:val="20"/>
                <w:szCs w:val="20"/>
              </w:rPr>
              <w:t>2.109.000,00</w:t>
            </w:r>
          </w:p>
        </w:tc>
        <w:tc>
          <w:tcPr>
            <w:tcW w:w="1450" w:type="dxa"/>
            <w:noWrap/>
            <w:hideMark/>
          </w:tcPr>
          <w:p w:rsidR="002D0C37" w:rsidRPr="00332E82" w:rsidRDefault="002D0C37" w:rsidP="002D0C37">
            <w:pPr>
              <w:jc w:val="right"/>
              <w:rPr>
                <w:b/>
                <w:bCs/>
                <w:sz w:val="20"/>
                <w:szCs w:val="20"/>
              </w:rPr>
            </w:pPr>
            <w:r w:rsidRPr="00332E82">
              <w:rPr>
                <w:b/>
                <w:bCs/>
                <w:sz w:val="20"/>
                <w:szCs w:val="20"/>
              </w:rPr>
              <w:t>1.766.150,30</w:t>
            </w:r>
          </w:p>
        </w:tc>
        <w:tc>
          <w:tcPr>
            <w:tcW w:w="1133" w:type="dxa"/>
            <w:noWrap/>
            <w:hideMark/>
          </w:tcPr>
          <w:p w:rsidR="002D0C37" w:rsidRPr="00332E82" w:rsidRDefault="002D0C37" w:rsidP="002D0C37">
            <w:pPr>
              <w:jc w:val="right"/>
              <w:rPr>
                <w:b/>
                <w:bCs/>
                <w:sz w:val="20"/>
                <w:szCs w:val="20"/>
              </w:rPr>
            </w:pPr>
            <w:r w:rsidRPr="00332E82">
              <w:rPr>
                <w:b/>
                <w:bCs/>
                <w:sz w:val="20"/>
                <w:szCs w:val="20"/>
              </w:rPr>
              <w:t>107,05%</w:t>
            </w:r>
          </w:p>
        </w:tc>
        <w:tc>
          <w:tcPr>
            <w:tcW w:w="1134" w:type="dxa"/>
            <w:noWrap/>
            <w:hideMark/>
          </w:tcPr>
          <w:p w:rsidR="002D0C37" w:rsidRPr="00332E82" w:rsidRDefault="002D0C37" w:rsidP="002D0C37">
            <w:pPr>
              <w:jc w:val="right"/>
              <w:rPr>
                <w:b/>
                <w:bCs/>
                <w:sz w:val="20"/>
                <w:szCs w:val="20"/>
              </w:rPr>
            </w:pPr>
            <w:r w:rsidRPr="00332E82">
              <w:rPr>
                <w:b/>
                <w:bCs/>
                <w:sz w:val="20"/>
                <w:szCs w:val="20"/>
              </w:rPr>
              <w:t>83,74%</w:t>
            </w: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611 Porez na dohodak</w:t>
            </w:r>
          </w:p>
        </w:tc>
        <w:tc>
          <w:tcPr>
            <w:tcW w:w="1384" w:type="dxa"/>
            <w:noWrap/>
            <w:hideMark/>
          </w:tcPr>
          <w:p w:rsidR="002D0C37" w:rsidRPr="00332E82" w:rsidRDefault="002D0C37" w:rsidP="002D0C37">
            <w:pPr>
              <w:jc w:val="right"/>
              <w:rPr>
                <w:sz w:val="20"/>
                <w:szCs w:val="20"/>
              </w:rPr>
            </w:pPr>
            <w:r w:rsidRPr="00332E82">
              <w:rPr>
                <w:sz w:val="20"/>
                <w:szCs w:val="20"/>
              </w:rPr>
              <w:t>1.171.471,96</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1.400.749,94</w:t>
            </w:r>
          </w:p>
        </w:tc>
        <w:tc>
          <w:tcPr>
            <w:tcW w:w="1133" w:type="dxa"/>
            <w:noWrap/>
            <w:hideMark/>
          </w:tcPr>
          <w:p w:rsidR="002D0C37" w:rsidRPr="00332E82" w:rsidRDefault="002D0C37" w:rsidP="002D0C37">
            <w:pPr>
              <w:jc w:val="right"/>
              <w:rPr>
                <w:sz w:val="20"/>
                <w:szCs w:val="20"/>
              </w:rPr>
            </w:pPr>
            <w:r w:rsidRPr="00332E82">
              <w:rPr>
                <w:sz w:val="20"/>
                <w:szCs w:val="20"/>
              </w:rPr>
              <w:t>119,57%</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6111 Porez na dohodak od nesamostalnog rada</w:t>
            </w:r>
          </w:p>
        </w:tc>
        <w:tc>
          <w:tcPr>
            <w:tcW w:w="1384" w:type="dxa"/>
            <w:noWrap/>
            <w:hideMark/>
          </w:tcPr>
          <w:p w:rsidR="002D0C37" w:rsidRPr="00332E82" w:rsidRDefault="002D0C37" w:rsidP="002D0C37">
            <w:pPr>
              <w:jc w:val="right"/>
              <w:rPr>
                <w:sz w:val="20"/>
                <w:szCs w:val="20"/>
              </w:rPr>
            </w:pPr>
            <w:r w:rsidRPr="00332E82">
              <w:rPr>
                <w:sz w:val="20"/>
                <w:szCs w:val="20"/>
              </w:rPr>
              <w:t>1.060.902,61</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1.273.674,99</w:t>
            </w:r>
          </w:p>
        </w:tc>
        <w:tc>
          <w:tcPr>
            <w:tcW w:w="1133" w:type="dxa"/>
            <w:noWrap/>
            <w:hideMark/>
          </w:tcPr>
          <w:p w:rsidR="002D0C37" w:rsidRPr="00332E82" w:rsidRDefault="002D0C37" w:rsidP="002D0C37">
            <w:pPr>
              <w:jc w:val="right"/>
              <w:rPr>
                <w:sz w:val="20"/>
                <w:szCs w:val="20"/>
              </w:rPr>
            </w:pPr>
            <w:r w:rsidRPr="00332E82">
              <w:rPr>
                <w:sz w:val="20"/>
                <w:szCs w:val="20"/>
              </w:rPr>
              <w:t>120,06%</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6112 Porez na dohodak od samostalnih djelatnosti</w:t>
            </w:r>
          </w:p>
        </w:tc>
        <w:tc>
          <w:tcPr>
            <w:tcW w:w="1384" w:type="dxa"/>
            <w:noWrap/>
            <w:hideMark/>
          </w:tcPr>
          <w:p w:rsidR="002D0C37" w:rsidRPr="00332E82" w:rsidRDefault="002D0C37" w:rsidP="002D0C37">
            <w:pPr>
              <w:jc w:val="right"/>
              <w:rPr>
                <w:sz w:val="20"/>
                <w:szCs w:val="20"/>
              </w:rPr>
            </w:pPr>
            <w:r w:rsidRPr="00332E82">
              <w:rPr>
                <w:sz w:val="20"/>
                <w:szCs w:val="20"/>
              </w:rPr>
              <w:t>113.249,99</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114.402,04</w:t>
            </w:r>
          </w:p>
        </w:tc>
        <w:tc>
          <w:tcPr>
            <w:tcW w:w="1133" w:type="dxa"/>
            <w:noWrap/>
            <w:hideMark/>
          </w:tcPr>
          <w:p w:rsidR="002D0C37" w:rsidRPr="00332E82" w:rsidRDefault="002D0C37" w:rsidP="002D0C37">
            <w:pPr>
              <w:jc w:val="right"/>
              <w:rPr>
                <w:sz w:val="20"/>
                <w:szCs w:val="20"/>
              </w:rPr>
            </w:pPr>
            <w:r w:rsidRPr="00332E82">
              <w:rPr>
                <w:sz w:val="20"/>
                <w:szCs w:val="20"/>
              </w:rPr>
              <w:t>101,02%</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6113 Porez na dohodak od imovine i imovinskih prava</w:t>
            </w:r>
          </w:p>
        </w:tc>
        <w:tc>
          <w:tcPr>
            <w:tcW w:w="1384" w:type="dxa"/>
            <w:noWrap/>
            <w:hideMark/>
          </w:tcPr>
          <w:p w:rsidR="002D0C37" w:rsidRPr="00332E82" w:rsidRDefault="002D0C37" w:rsidP="002D0C37">
            <w:pPr>
              <w:jc w:val="right"/>
              <w:rPr>
                <w:sz w:val="20"/>
                <w:szCs w:val="20"/>
              </w:rPr>
            </w:pPr>
            <w:r w:rsidRPr="00332E82">
              <w:rPr>
                <w:sz w:val="20"/>
                <w:szCs w:val="20"/>
              </w:rPr>
              <w:t>85.119,96</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116.978,60</w:t>
            </w:r>
          </w:p>
        </w:tc>
        <w:tc>
          <w:tcPr>
            <w:tcW w:w="1133" w:type="dxa"/>
            <w:noWrap/>
            <w:hideMark/>
          </w:tcPr>
          <w:p w:rsidR="002D0C37" w:rsidRPr="00332E82" w:rsidRDefault="002D0C37" w:rsidP="002D0C37">
            <w:pPr>
              <w:jc w:val="right"/>
              <w:rPr>
                <w:sz w:val="20"/>
                <w:szCs w:val="20"/>
              </w:rPr>
            </w:pPr>
            <w:r w:rsidRPr="00332E82">
              <w:rPr>
                <w:sz w:val="20"/>
                <w:szCs w:val="20"/>
              </w:rPr>
              <w:t>137,43%</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6114 Porez na dohodak od kapitala</w:t>
            </w:r>
          </w:p>
        </w:tc>
        <w:tc>
          <w:tcPr>
            <w:tcW w:w="1384" w:type="dxa"/>
            <w:noWrap/>
            <w:hideMark/>
          </w:tcPr>
          <w:p w:rsidR="002D0C37" w:rsidRPr="00332E82" w:rsidRDefault="002D0C37" w:rsidP="002D0C37">
            <w:pPr>
              <w:jc w:val="right"/>
              <w:rPr>
                <w:sz w:val="20"/>
                <w:szCs w:val="20"/>
              </w:rPr>
            </w:pPr>
            <w:r w:rsidRPr="00332E82">
              <w:rPr>
                <w:sz w:val="20"/>
                <w:szCs w:val="20"/>
              </w:rPr>
              <w:t>17.785,53</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31.001,97</w:t>
            </w:r>
          </w:p>
        </w:tc>
        <w:tc>
          <w:tcPr>
            <w:tcW w:w="1133" w:type="dxa"/>
            <w:noWrap/>
            <w:hideMark/>
          </w:tcPr>
          <w:p w:rsidR="002D0C37" w:rsidRPr="00332E82" w:rsidRDefault="002D0C37" w:rsidP="002D0C37">
            <w:pPr>
              <w:jc w:val="right"/>
              <w:rPr>
                <w:sz w:val="20"/>
                <w:szCs w:val="20"/>
              </w:rPr>
            </w:pPr>
            <w:r w:rsidRPr="00332E82">
              <w:rPr>
                <w:sz w:val="20"/>
                <w:szCs w:val="20"/>
              </w:rPr>
              <w:t>174,31%</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6115 Porez na dohodak po godišnjoj prijavi</w:t>
            </w:r>
          </w:p>
        </w:tc>
        <w:tc>
          <w:tcPr>
            <w:tcW w:w="1384" w:type="dxa"/>
            <w:noWrap/>
            <w:hideMark/>
          </w:tcPr>
          <w:p w:rsidR="002D0C37" w:rsidRPr="00332E82" w:rsidRDefault="002D0C37" w:rsidP="002D0C37">
            <w:pPr>
              <w:jc w:val="right"/>
              <w:rPr>
                <w:sz w:val="20"/>
                <w:szCs w:val="20"/>
              </w:rPr>
            </w:pPr>
            <w:r w:rsidRPr="00332E82">
              <w:rPr>
                <w:sz w:val="20"/>
                <w:szCs w:val="20"/>
              </w:rPr>
              <w:t>46.355,84</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62.128,82</w:t>
            </w:r>
          </w:p>
        </w:tc>
        <w:tc>
          <w:tcPr>
            <w:tcW w:w="1133" w:type="dxa"/>
            <w:noWrap/>
            <w:hideMark/>
          </w:tcPr>
          <w:p w:rsidR="002D0C37" w:rsidRPr="00332E82" w:rsidRDefault="002D0C37" w:rsidP="002D0C37">
            <w:pPr>
              <w:jc w:val="right"/>
              <w:rPr>
                <w:sz w:val="20"/>
                <w:szCs w:val="20"/>
              </w:rPr>
            </w:pPr>
            <w:r w:rsidRPr="00332E82">
              <w:rPr>
                <w:sz w:val="20"/>
                <w:szCs w:val="20"/>
              </w:rPr>
              <w:t>134,03%</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6117 Povrat poreza na dohodak po godišnjoj prijavi</w:t>
            </w:r>
          </w:p>
        </w:tc>
        <w:tc>
          <w:tcPr>
            <w:tcW w:w="1384" w:type="dxa"/>
            <w:noWrap/>
            <w:hideMark/>
          </w:tcPr>
          <w:p w:rsidR="002D0C37" w:rsidRPr="00332E82" w:rsidRDefault="002D0C37" w:rsidP="002D0C37">
            <w:pPr>
              <w:jc w:val="right"/>
              <w:rPr>
                <w:sz w:val="20"/>
                <w:szCs w:val="20"/>
              </w:rPr>
            </w:pPr>
            <w:r w:rsidRPr="00332E82">
              <w:rPr>
                <w:sz w:val="20"/>
                <w:szCs w:val="20"/>
              </w:rPr>
              <w:t>-151.941,97</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-197.436,48</w:t>
            </w:r>
          </w:p>
        </w:tc>
        <w:tc>
          <w:tcPr>
            <w:tcW w:w="1133" w:type="dxa"/>
            <w:noWrap/>
            <w:hideMark/>
          </w:tcPr>
          <w:p w:rsidR="002D0C37" w:rsidRPr="00332E82" w:rsidRDefault="002D0C37" w:rsidP="002D0C37">
            <w:pPr>
              <w:jc w:val="right"/>
              <w:rPr>
                <w:sz w:val="20"/>
                <w:szCs w:val="20"/>
              </w:rPr>
            </w:pPr>
            <w:r w:rsidRPr="00332E82">
              <w:rPr>
                <w:sz w:val="20"/>
                <w:szCs w:val="20"/>
              </w:rPr>
              <w:t>129,94%</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613 Porezi na imovinu</w:t>
            </w:r>
          </w:p>
        </w:tc>
        <w:tc>
          <w:tcPr>
            <w:tcW w:w="1384" w:type="dxa"/>
            <w:noWrap/>
            <w:hideMark/>
          </w:tcPr>
          <w:p w:rsidR="002D0C37" w:rsidRPr="00332E82" w:rsidRDefault="002D0C37" w:rsidP="002D0C37">
            <w:pPr>
              <w:jc w:val="right"/>
              <w:rPr>
                <w:sz w:val="20"/>
                <w:szCs w:val="20"/>
              </w:rPr>
            </w:pPr>
            <w:r w:rsidRPr="00332E82">
              <w:rPr>
                <w:sz w:val="20"/>
                <w:szCs w:val="20"/>
              </w:rPr>
              <w:t>436.455,52</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319.382,81</w:t>
            </w:r>
          </w:p>
        </w:tc>
        <w:tc>
          <w:tcPr>
            <w:tcW w:w="1133" w:type="dxa"/>
            <w:noWrap/>
            <w:hideMark/>
          </w:tcPr>
          <w:p w:rsidR="002D0C37" w:rsidRPr="00332E82" w:rsidRDefault="002D0C37" w:rsidP="002D0C37">
            <w:pPr>
              <w:jc w:val="right"/>
              <w:rPr>
                <w:sz w:val="20"/>
                <w:szCs w:val="20"/>
              </w:rPr>
            </w:pPr>
            <w:r w:rsidRPr="00332E82">
              <w:rPr>
                <w:sz w:val="20"/>
                <w:szCs w:val="20"/>
              </w:rPr>
              <w:t>73,18%</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6131 Stalni porezi na nepokretnu imovinu (zemlju, zgrade, kuće i ostalo)</w:t>
            </w:r>
          </w:p>
        </w:tc>
        <w:tc>
          <w:tcPr>
            <w:tcW w:w="1384" w:type="dxa"/>
            <w:noWrap/>
            <w:hideMark/>
          </w:tcPr>
          <w:p w:rsidR="002D0C37" w:rsidRPr="00332E82" w:rsidRDefault="002D0C37" w:rsidP="002D0C37">
            <w:pPr>
              <w:jc w:val="right"/>
              <w:rPr>
                <w:sz w:val="20"/>
                <w:szCs w:val="20"/>
              </w:rPr>
            </w:pPr>
            <w:r w:rsidRPr="00332E82">
              <w:rPr>
                <w:sz w:val="20"/>
                <w:szCs w:val="20"/>
              </w:rPr>
              <w:t>244.393,24</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100.793,89</w:t>
            </w:r>
          </w:p>
        </w:tc>
        <w:tc>
          <w:tcPr>
            <w:tcW w:w="1133" w:type="dxa"/>
            <w:noWrap/>
            <w:hideMark/>
          </w:tcPr>
          <w:p w:rsidR="002D0C37" w:rsidRPr="00332E82" w:rsidRDefault="002D0C37" w:rsidP="002D0C37">
            <w:pPr>
              <w:jc w:val="right"/>
              <w:rPr>
                <w:sz w:val="20"/>
                <w:szCs w:val="20"/>
              </w:rPr>
            </w:pPr>
            <w:r w:rsidRPr="00332E82">
              <w:rPr>
                <w:sz w:val="20"/>
                <w:szCs w:val="20"/>
              </w:rPr>
              <w:t>41,24%</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6134 Povremeni porezi na imovinu</w:t>
            </w:r>
          </w:p>
        </w:tc>
        <w:tc>
          <w:tcPr>
            <w:tcW w:w="1384" w:type="dxa"/>
            <w:noWrap/>
            <w:hideMark/>
          </w:tcPr>
          <w:p w:rsidR="002D0C37" w:rsidRPr="00332E82" w:rsidRDefault="002D0C37" w:rsidP="002D0C37">
            <w:pPr>
              <w:jc w:val="right"/>
              <w:rPr>
                <w:sz w:val="20"/>
                <w:szCs w:val="20"/>
              </w:rPr>
            </w:pPr>
            <w:r w:rsidRPr="00332E82">
              <w:rPr>
                <w:sz w:val="20"/>
                <w:szCs w:val="20"/>
              </w:rPr>
              <w:t>192.062,28</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218.588,92</w:t>
            </w:r>
          </w:p>
        </w:tc>
        <w:tc>
          <w:tcPr>
            <w:tcW w:w="1133" w:type="dxa"/>
            <w:noWrap/>
            <w:hideMark/>
          </w:tcPr>
          <w:p w:rsidR="002D0C37" w:rsidRPr="00332E82" w:rsidRDefault="002D0C37" w:rsidP="002D0C37">
            <w:pPr>
              <w:jc w:val="right"/>
              <w:rPr>
                <w:sz w:val="20"/>
                <w:szCs w:val="20"/>
              </w:rPr>
            </w:pPr>
            <w:r w:rsidRPr="00332E82">
              <w:rPr>
                <w:sz w:val="20"/>
                <w:szCs w:val="20"/>
              </w:rPr>
              <w:t>113,81%</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614 Porezi na robu i usluge</w:t>
            </w:r>
          </w:p>
        </w:tc>
        <w:tc>
          <w:tcPr>
            <w:tcW w:w="1384" w:type="dxa"/>
            <w:noWrap/>
            <w:hideMark/>
          </w:tcPr>
          <w:p w:rsidR="002D0C37" w:rsidRPr="00332E82" w:rsidRDefault="002D0C37" w:rsidP="002D0C37">
            <w:pPr>
              <w:jc w:val="right"/>
              <w:rPr>
                <w:sz w:val="20"/>
                <w:szCs w:val="20"/>
              </w:rPr>
            </w:pPr>
            <w:r w:rsidRPr="00332E82">
              <w:rPr>
                <w:sz w:val="20"/>
                <w:szCs w:val="20"/>
              </w:rPr>
              <w:t>41.908,26</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46.017,55</w:t>
            </w:r>
          </w:p>
        </w:tc>
        <w:tc>
          <w:tcPr>
            <w:tcW w:w="1133" w:type="dxa"/>
            <w:noWrap/>
            <w:hideMark/>
          </w:tcPr>
          <w:p w:rsidR="002D0C37" w:rsidRPr="00332E82" w:rsidRDefault="002D0C37" w:rsidP="002D0C37">
            <w:pPr>
              <w:jc w:val="right"/>
              <w:rPr>
                <w:sz w:val="20"/>
                <w:szCs w:val="20"/>
              </w:rPr>
            </w:pPr>
            <w:r w:rsidRPr="00332E82">
              <w:rPr>
                <w:sz w:val="20"/>
                <w:szCs w:val="20"/>
              </w:rPr>
              <w:t>109,81%</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6142 Porez na promet</w:t>
            </w:r>
          </w:p>
        </w:tc>
        <w:tc>
          <w:tcPr>
            <w:tcW w:w="1384" w:type="dxa"/>
            <w:noWrap/>
            <w:hideMark/>
          </w:tcPr>
          <w:p w:rsidR="002D0C37" w:rsidRPr="00332E82" w:rsidRDefault="002D0C37" w:rsidP="002D0C37">
            <w:pPr>
              <w:jc w:val="right"/>
              <w:rPr>
                <w:sz w:val="20"/>
                <w:szCs w:val="20"/>
              </w:rPr>
            </w:pPr>
            <w:r w:rsidRPr="00332E82">
              <w:rPr>
                <w:sz w:val="20"/>
                <w:szCs w:val="20"/>
              </w:rPr>
              <w:t>41.908,26</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46.017,55</w:t>
            </w:r>
          </w:p>
        </w:tc>
        <w:tc>
          <w:tcPr>
            <w:tcW w:w="1133" w:type="dxa"/>
            <w:noWrap/>
            <w:hideMark/>
          </w:tcPr>
          <w:p w:rsidR="002D0C37" w:rsidRPr="00332E82" w:rsidRDefault="002D0C37" w:rsidP="002D0C37">
            <w:pPr>
              <w:jc w:val="right"/>
              <w:rPr>
                <w:sz w:val="20"/>
                <w:szCs w:val="20"/>
              </w:rPr>
            </w:pPr>
            <w:r w:rsidRPr="00332E82">
              <w:rPr>
                <w:sz w:val="20"/>
                <w:szCs w:val="20"/>
              </w:rPr>
              <w:t>109,81%</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b/>
                <w:bCs/>
                <w:sz w:val="20"/>
                <w:szCs w:val="20"/>
              </w:rPr>
            </w:pPr>
            <w:r w:rsidRPr="00332E82">
              <w:rPr>
                <w:b/>
                <w:bCs/>
                <w:sz w:val="20"/>
                <w:szCs w:val="20"/>
              </w:rPr>
              <w:t>63 Pomoći iz inozemstva i od subjekata unutar općeg proračuna</w:t>
            </w:r>
          </w:p>
        </w:tc>
        <w:tc>
          <w:tcPr>
            <w:tcW w:w="1384" w:type="dxa"/>
            <w:noWrap/>
            <w:hideMark/>
          </w:tcPr>
          <w:p w:rsidR="002D0C37" w:rsidRPr="00332E82" w:rsidRDefault="002D0C37" w:rsidP="002D0C37">
            <w:pPr>
              <w:jc w:val="right"/>
              <w:rPr>
                <w:b/>
                <w:bCs/>
                <w:sz w:val="20"/>
                <w:szCs w:val="20"/>
              </w:rPr>
            </w:pPr>
            <w:r w:rsidRPr="00332E82">
              <w:rPr>
                <w:b/>
                <w:bCs/>
                <w:sz w:val="20"/>
                <w:szCs w:val="20"/>
              </w:rPr>
              <w:t>1.201.485,92</w:t>
            </w:r>
          </w:p>
        </w:tc>
        <w:tc>
          <w:tcPr>
            <w:tcW w:w="1384" w:type="dxa"/>
            <w:noWrap/>
            <w:hideMark/>
          </w:tcPr>
          <w:p w:rsidR="002D0C37" w:rsidRPr="00332E82" w:rsidRDefault="002D0C37" w:rsidP="002D0C37">
            <w:pPr>
              <w:jc w:val="right"/>
              <w:rPr>
                <w:b/>
                <w:bCs/>
                <w:sz w:val="20"/>
                <w:szCs w:val="20"/>
              </w:rPr>
            </w:pPr>
            <w:r w:rsidRPr="00332E82">
              <w:rPr>
                <w:b/>
                <w:bCs/>
                <w:sz w:val="20"/>
                <w:szCs w:val="20"/>
              </w:rPr>
              <w:t>1.365.671,00</w:t>
            </w:r>
          </w:p>
        </w:tc>
        <w:tc>
          <w:tcPr>
            <w:tcW w:w="1450" w:type="dxa"/>
            <w:noWrap/>
            <w:hideMark/>
          </w:tcPr>
          <w:p w:rsidR="002D0C37" w:rsidRPr="00332E82" w:rsidRDefault="002D0C37" w:rsidP="002D0C37">
            <w:pPr>
              <w:jc w:val="right"/>
              <w:rPr>
                <w:b/>
                <w:bCs/>
                <w:sz w:val="20"/>
                <w:szCs w:val="20"/>
              </w:rPr>
            </w:pPr>
            <w:r w:rsidRPr="00332E82">
              <w:rPr>
                <w:b/>
                <w:bCs/>
                <w:sz w:val="20"/>
                <w:szCs w:val="20"/>
              </w:rPr>
              <w:t>1.277.464,85</w:t>
            </w:r>
          </w:p>
        </w:tc>
        <w:tc>
          <w:tcPr>
            <w:tcW w:w="1133" w:type="dxa"/>
            <w:noWrap/>
            <w:hideMark/>
          </w:tcPr>
          <w:p w:rsidR="002D0C37" w:rsidRPr="00332E82" w:rsidRDefault="002D0C37" w:rsidP="002D0C37">
            <w:pPr>
              <w:jc w:val="right"/>
              <w:rPr>
                <w:b/>
                <w:bCs/>
                <w:sz w:val="20"/>
                <w:szCs w:val="20"/>
              </w:rPr>
            </w:pPr>
            <w:r w:rsidRPr="00332E82">
              <w:rPr>
                <w:b/>
                <w:bCs/>
                <w:sz w:val="20"/>
                <w:szCs w:val="20"/>
              </w:rPr>
              <w:t>106,32%</w:t>
            </w:r>
          </w:p>
        </w:tc>
        <w:tc>
          <w:tcPr>
            <w:tcW w:w="1134" w:type="dxa"/>
            <w:noWrap/>
            <w:hideMark/>
          </w:tcPr>
          <w:p w:rsidR="002D0C37" w:rsidRPr="00332E82" w:rsidRDefault="002D0C37" w:rsidP="002D0C37">
            <w:pPr>
              <w:jc w:val="right"/>
              <w:rPr>
                <w:b/>
                <w:bCs/>
                <w:sz w:val="20"/>
                <w:szCs w:val="20"/>
              </w:rPr>
            </w:pPr>
            <w:r w:rsidRPr="00332E82">
              <w:rPr>
                <w:b/>
                <w:bCs/>
                <w:sz w:val="20"/>
                <w:szCs w:val="20"/>
              </w:rPr>
              <w:t>93,54%</w:t>
            </w: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633 Pomoći proračunu i izvanproračunskim korisnicima iz drugih proračuna</w:t>
            </w:r>
          </w:p>
        </w:tc>
        <w:tc>
          <w:tcPr>
            <w:tcW w:w="1384" w:type="dxa"/>
            <w:noWrap/>
            <w:hideMark/>
          </w:tcPr>
          <w:p w:rsidR="002D0C37" w:rsidRPr="00332E82" w:rsidRDefault="002D0C37" w:rsidP="002D0C37">
            <w:pPr>
              <w:jc w:val="right"/>
              <w:rPr>
                <w:sz w:val="20"/>
                <w:szCs w:val="20"/>
              </w:rPr>
            </w:pPr>
            <w:r w:rsidRPr="00332E82">
              <w:rPr>
                <w:sz w:val="20"/>
                <w:szCs w:val="20"/>
              </w:rPr>
              <w:t>996.235,57</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548.528,41</w:t>
            </w:r>
          </w:p>
        </w:tc>
        <w:tc>
          <w:tcPr>
            <w:tcW w:w="1133" w:type="dxa"/>
            <w:noWrap/>
            <w:hideMark/>
          </w:tcPr>
          <w:p w:rsidR="002D0C37" w:rsidRPr="00332E82" w:rsidRDefault="002D0C37" w:rsidP="002D0C37">
            <w:pPr>
              <w:jc w:val="right"/>
              <w:rPr>
                <w:sz w:val="20"/>
                <w:szCs w:val="20"/>
              </w:rPr>
            </w:pPr>
            <w:r w:rsidRPr="00332E82">
              <w:rPr>
                <w:sz w:val="20"/>
                <w:szCs w:val="20"/>
              </w:rPr>
              <w:t>55,06%</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6331 Tekuće pomoći proračunu i izvanproračunskim korisnicima iz drugih proračuna</w:t>
            </w:r>
          </w:p>
        </w:tc>
        <w:tc>
          <w:tcPr>
            <w:tcW w:w="1384" w:type="dxa"/>
            <w:noWrap/>
            <w:hideMark/>
          </w:tcPr>
          <w:p w:rsidR="002D0C37" w:rsidRPr="00332E82" w:rsidRDefault="002D0C37" w:rsidP="002D0C37">
            <w:pPr>
              <w:jc w:val="right"/>
              <w:rPr>
                <w:sz w:val="20"/>
                <w:szCs w:val="20"/>
              </w:rPr>
            </w:pPr>
            <w:r w:rsidRPr="00332E82">
              <w:rPr>
                <w:sz w:val="20"/>
                <w:szCs w:val="20"/>
              </w:rPr>
              <w:t>675.560,76</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167.694,13</w:t>
            </w:r>
          </w:p>
        </w:tc>
        <w:tc>
          <w:tcPr>
            <w:tcW w:w="1133" w:type="dxa"/>
            <w:noWrap/>
            <w:hideMark/>
          </w:tcPr>
          <w:p w:rsidR="002D0C37" w:rsidRPr="00332E82" w:rsidRDefault="002D0C37" w:rsidP="002D0C37">
            <w:pPr>
              <w:jc w:val="right"/>
              <w:rPr>
                <w:sz w:val="20"/>
                <w:szCs w:val="20"/>
              </w:rPr>
            </w:pPr>
            <w:r w:rsidRPr="00332E82">
              <w:rPr>
                <w:sz w:val="20"/>
                <w:szCs w:val="20"/>
              </w:rPr>
              <w:t>24,82%</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6332 Kapitalne pomoći proračunu i izvanproračunskim korisnicima iz drugih proračuna</w:t>
            </w:r>
          </w:p>
        </w:tc>
        <w:tc>
          <w:tcPr>
            <w:tcW w:w="1384" w:type="dxa"/>
            <w:noWrap/>
            <w:hideMark/>
          </w:tcPr>
          <w:p w:rsidR="002D0C37" w:rsidRPr="00332E82" w:rsidRDefault="002D0C37" w:rsidP="002D0C37">
            <w:pPr>
              <w:jc w:val="right"/>
              <w:rPr>
                <w:sz w:val="20"/>
                <w:szCs w:val="20"/>
              </w:rPr>
            </w:pPr>
            <w:r w:rsidRPr="00332E82">
              <w:rPr>
                <w:sz w:val="20"/>
                <w:szCs w:val="20"/>
              </w:rPr>
              <w:t>320.674,81</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380.834,28</w:t>
            </w:r>
          </w:p>
        </w:tc>
        <w:tc>
          <w:tcPr>
            <w:tcW w:w="1133" w:type="dxa"/>
            <w:noWrap/>
            <w:hideMark/>
          </w:tcPr>
          <w:p w:rsidR="002D0C37" w:rsidRPr="00332E82" w:rsidRDefault="002D0C37" w:rsidP="002D0C37">
            <w:pPr>
              <w:jc w:val="right"/>
              <w:rPr>
                <w:sz w:val="20"/>
                <w:szCs w:val="20"/>
              </w:rPr>
            </w:pPr>
            <w:r w:rsidRPr="00332E82">
              <w:rPr>
                <w:sz w:val="20"/>
                <w:szCs w:val="20"/>
              </w:rPr>
              <w:t>118,76%</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lastRenderedPageBreak/>
              <w:t>634 Pomoći od izvanproračunskih korisnika</w:t>
            </w:r>
          </w:p>
        </w:tc>
        <w:tc>
          <w:tcPr>
            <w:tcW w:w="1384" w:type="dxa"/>
            <w:noWrap/>
            <w:hideMark/>
          </w:tcPr>
          <w:p w:rsidR="002D0C37" w:rsidRPr="00332E82" w:rsidRDefault="002D0C37" w:rsidP="002D0C37">
            <w:pPr>
              <w:jc w:val="right"/>
              <w:rPr>
                <w:sz w:val="20"/>
                <w:szCs w:val="20"/>
              </w:rPr>
            </w:pPr>
            <w:r w:rsidRPr="00332E82">
              <w:rPr>
                <w:sz w:val="20"/>
                <w:szCs w:val="20"/>
              </w:rPr>
              <w:t>35.917,59</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68.400,00</w:t>
            </w:r>
          </w:p>
        </w:tc>
        <w:tc>
          <w:tcPr>
            <w:tcW w:w="1133" w:type="dxa"/>
            <w:noWrap/>
            <w:hideMark/>
          </w:tcPr>
          <w:p w:rsidR="002D0C37" w:rsidRPr="00332E82" w:rsidRDefault="002D0C37" w:rsidP="002D0C37">
            <w:pPr>
              <w:jc w:val="right"/>
              <w:rPr>
                <w:sz w:val="20"/>
                <w:szCs w:val="20"/>
              </w:rPr>
            </w:pPr>
            <w:r w:rsidRPr="00332E82">
              <w:rPr>
                <w:sz w:val="20"/>
                <w:szCs w:val="20"/>
              </w:rPr>
              <w:t>190,44%</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6342 Kapitalne pomoći od izvanproračunskih korisnika</w:t>
            </w:r>
          </w:p>
        </w:tc>
        <w:tc>
          <w:tcPr>
            <w:tcW w:w="1384" w:type="dxa"/>
            <w:noWrap/>
            <w:hideMark/>
          </w:tcPr>
          <w:p w:rsidR="002D0C37" w:rsidRPr="00332E82" w:rsidRDefault="002D0C37" w:rsidP="002D0C37">
            <w:pPr>
              <w:jc w:val="right"/>
              <w:rPr>
                <w:sz w:val="20"/>
                <w:szCs w:val="20"/>
              </w:rPr>
            </w:pPr>
            <w:r w:rsidRPr="00332E82">
              <w:rPr>
                <w:sz w:val="20"/>
                <w:szCs w:val="20"/>
              </w:rPr>
              <w:t>35.917,59</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68.400,00</w:t>
            </w:r>
          </w:p>
        </w:tc>
        <w:tc>
          <w:tcPr>
            <w:tcW w:w="1133" w:type="dxa"/>
            <w:noWrap/>
            <w:hideMark/>
          </w:tcPr>
          <w:p w:rsidR="002D0C37" w:rsidRPr="00332E82" w:rsidRDefault="002D0C37" w:rsidP="002D0C37">
            <w:pPr>
              <w:jc w:val="right"/>
              <w:rPr>
                <w:sz w:val="20"/>
                <w:szCs w:val="20"/>
              </w:rPr>
            </w:pPr>
            <w:r w:rsidRPr="00332E82">
              <w:rPr>
                <w:sz w:val="20"/>
                <w:szCs w:val="20"/>
              </w:rPr>
              <w:t>190,44%</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635 Pomoći izravnanja za decentralizirane funkcije i fiskalnog izravnanja</w:t>
            </w:r>
          </w:p>
        </w:tc>
        <w:tc>
          <w:tcPr>
            <w:tcW w:w="1384" w:type="dxa"/>
            <w:noWrap/>
            <w:hideMark/>
          </w:tcPr>
          <w:p w:rsidR="002D0C37" w:rsidRPr="00332E82" w:rsidRDefault="005C4E18" w:rsidP="005C4E18">
            <w:pPr>
              <w:jc w:val="right"/>
              <w:rPr>
                <w:sz w:val="20"/>
                <w:szCs w:val="20"/>
              </w:rPr>
            </w:pPr>
            <w:r>
              <w:rPr>
                <w:sz w:val="20"/>
                <w:szCs w:val="20"/>
              </w:rPr>
              <w:t>0,00</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548.060,43</w:t>
            </w:r>
          </w:p>
        </w:tc>
        <w:tc>
          <w:tcPr>
            <w:tcW w:w="1133" w:type="dxa"/>
            <w:noWrap/>
            <w:hideMark/>
          </w:tcPr>
          <w:p w:rsidR="002D0C37" w:rsidRPr="00332E82" w:rsidRDefault="002D0C37" w:rsidP="002D0C37">
            <w:pPr>
              <w:jc w:val="right"/>
              <w:rPr>
                <w:sz w:val="20"/>
                <w:szCs w:val="20"/>
              </w:rPr>
            </w:pPr>
            <w:r w:rsidRPr="00332E82">
              <w:rPr>
                <w:sz w:val="20"/>
                <w:szCs w:val="20"/>
              </w:rPr>
              <w:t>0,00%</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6353 Pomoći fiskalnog izravnanja</w:t>
            </w:r>
          </w:p>
        </w:tc>
        <w:tc>
          <w:tcPr>
            <w:tcW w:w="1384" w:type="dxa"/>
            <w:noWrap/>
            <w:hideMark/>
          </w:tcPr>
          <w:p w:rsidR="002D0C37" w:rsidRPr="00332E82" w:rsidRDefault="005C4E18" w:rsidP="005C4E18">
            <w:pPr>
              <w:jc w:val="right"/>
              <w:rPr>
                <w:sz w:val="20"/>
                <w:szCs w:val="20"/>
              </w:rPr>
            </w:pPr>
            <w:r>
              <w:rPr>
                <w:sz w:val="20"/>
                <w:szCs w:val="20"/>
              </w:rPr>
              <w:t>0,00</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548.060,43</w:t>
            </w:r>
          </w:p>
        </w:tc>
        <w:tc>
          <w:tcPr>
            <w:tcW w:w="1133" w:type="dxa"/>
            <w:noWrap/>
            <w:hideMark/>
          </w:tcPr>
          <w:p w:rsidR="002D0C37" w:rsidRPr="00332E82" w:rsidRDefault="002D0C37" w:rsidP="002D0C37">
            <w:pPr>
              <w:jc w:val="right"/>
              <w:rPr>
                <w:sz w:val="20"/>
                <w:szCs w:val="20"/>
              </w:rPr>
            </w:pPr>
            <w:r w:rsidRPr="00332E82">
              <w:rPr>
                <w:sz w:val="20"/>
                <w:szCs w:val="20"/>
              </w:rPr>
              <w:t>0,00%</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638 Pomoći temeljem prijenosa EU sredstava</w:t>
            </w:r>
          </w:p>
        </w:tc>
        <w:tc>
          <w:tcPr>
            <w:tcW w:w="1384" w:type="dxa"/>
            <w:noWrap/>
            <w:hideMark/>
          </w:tcPr>
          <w:p w:rsidR="002D0C37" w:rsidRPr="00332E82" w:rsidRDefault="002D0C37" w:rsidP="002D0C37">
            <w:pPr>
              <w:jc w:val="right"/>
              <w:rPr>
                <w:sz w:val="20"/>
                <w:szCs w:val="20"/>
              </w:rPr>
            </w:pPr>
            <w:r w:rsidRPr="00332E82">
              <w:rPr>
                <w:sz w:val="20"/>
                <w:szCs w:val="20"/>
              </w:rPr>
              <w:t>169.332,76</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112.476,01</w:t>
            </w:r>
          </w:p>
        </w:tc>
        <w:tc>
          <w:tcPr>
            <w:tcW w:w="1133" w:type="dxa"/>
            <w:noWrap/>
            <w:hideMark/>
          </w:tcPr>
          <w:p w:rsidR="002D0C37" w:rsidRPr="00332E82" w:rsidRDefault="002D0C37" w:rsidP="002D0C37">
            <w:pPr>
              <w:jc w:val="right"/>
              <w:rPr>
                <w:sz w:val="20"/>
                <w:szCs w:val="20"/>
              </w:rPr>
            </w:pPr>
            <w:r w:rsidRPr="00332E82">
              <w:rPr>
                <w:sz w:val="20"/>
                <w:szCs w:val="20"/>
              </w:rPr>
              <w:t>66,42%</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6381 Tekuće pomoći temeljem prijenosa EU sredstava</w:t>
            </w:r>
          </w:p>
        </w:tc>
        <w:tc>
          <w:tcPr>
            <w:tcW w:w="1384" w:type="dxa"/>
            <w:noWrap/>
            <w:hideMark/>
          </w:tcPr>
          <w:p w:rsidR="002D0C37" w:rsidRPr="00332E82" w:rsidRDefault="002D0C37" w:rsidP="002D0C37">
            <w:pPr>
              <w:jc w:val="right"/>
              <w:rPr>
                <w:sz w:val="20"/>
                <w:szCs w:val="20"/>
              </w:rPr>
            </w:pPr>
            <w:r w:rsidRPr="00332E82">
              <w:rPr>
                <w:sz w:val="20"/>
                <w:szCs w:val="20"/>
              </w:rPr>
              <w:t>169.332,76</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105.788,41</w:t>
            </w:r>
          </w:p>
        </w:tc>
        <w:tc>
          <w:tcPr>
            <w:tcW w:w="1133" w:type="dxa"/>
            <w:noWrap/>
            <w:hideMark/>
          </w:tcPr>
          <w:p w:rsidR="002D0C37" w:rsidRPr="00332E82" w:rsidRDefault="002D0C37" w:rsidP="002D0C37">
            <w:pPr>
              <w:jc w:val="right"/>
              <w:rPr>
                <w:sz w:val="20"/>
                <w:szCs w:val="20"/>
              </w:rPr>
            </w:pPr>
            <w:r w:rsidRPr="00332E82">
              <w:rPr>
                <w:sz w:val="20"/>
                <w:szCs w:val="20"/>
              </w:rPr>
              <w:t>62,47%</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6382 Kapitalne pomoći temeljem prijenosa EU sredstava</w:t>
            </w:r>
          </w:p>
        </w:tc>
        <w:tc>
          <w:tcPr>
            <w:tcW w:w="1384" w:type="dxa"/>
            <w:noWrap/>
            <w:hideMark/>
          </w:tcPr>
          <w:p w:rsidR="002D0C37" w:rsidRPr="00332E82" w:rsidRDefault="005C4E18" w:rsidP="005C4E18">
            <w:pPr>
              <w:jc w:val="right"/>
              <w:rPr>
                <w:sz w:val="20"/>
                <w:szCs w:val="20"/>
              </w:rPr>
            </w:pPr>
            <w:r>
              <w:rPr>
                <w:sz w:val="20"/>
                <w:szCs w:val="20"/>
              </w:rPr>
              <w:t>0,00</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6.687,60</w:t>
            </w:r>
          </w:p>
        </w:tc>
        <w:tc>
          <w:tcPr>
            <w:tcW w:w="1133" w:type="dxa"/>
            <w:noWrap/>
            <w:hideMark/>
          </w:tcPr>
          <w:p w:rsidR="002D0C37" w:rsidRPr="00332E82" w:rsidRDefault="002D0C37" w:rsidP="002D0C37">
            <w:pPr>
              <w:jc w:val="right"/>
              <w:rPr>
                <w:sz w:val="20"/>
                <w:szCs w:val="20"/>
              </w:rPr>
            </w:pPr>
            <w:r w:rsidRPr="00332E82">
              <w:rPr>
                <w:sz w:val="20"/>
                <w:szCs w:val="20"/>
              </w:rPr>
              <w:t>0,00%</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b/>
                <w:bCs/>
                <w:sz w:val="20"/>
                <w:szCs w:val="20"/>
              </w:rPr>
            </w:pPr>
            <w:r w:rsidRPr="00332E82">
              <w:rPr>
                <w:b/>
                <w:bCs/>
                <w:sz w:val="20"/>
                <w:szCs w:val="20"/>
              </w:rPr>
              <w:t>64 Prihodi od imovine</w:t>
            </w:r>
          </w:p>
        </w:tc>
        <w:tc>
          <w:tcPr>
            <w:tcW w:w="1384" w:type="dxa"/>
            <w:noWrap/>
            <w:hideMark/>
          </w:tcPr>
          <w:p w:rsidR="002D0C37" w:rsidRPr="00332E82" w:rsidRDefault="002D0C37" w:rsidP="002D0C37">
            <w:pPr>
              <w:jc w:val="right"/>
              <w:rPr>
                <w:b/>
                <w:bCs/>
                <w:sz w:val="20"/>
                <w:szCs w:val="20"/>
              </w:rPr>
            </w:pPr>
            <w:r w:rsidRPr="00332E82">
              <w:rPr>
                <w:b/>
                <w:bCs/>
                <w:sz w:val="20"/>
                <w:szCs w:val="20"/>
              </w:rPr>
              <w:t>287.111,24</w:t>
            </w:r>
          </w:p>
        </w:tc>
        <w:tc>
          <w:tcPr>
            <w:tcW w:w="1384" w:type="dxa"/>
            <w:noWrap/>
            <w:hideMark/>
          </w:tcPr>
          <w:p w:rsidR="002D0C37" w:rsidRPr="00332E82" w:rsidRDefault="002D0C37" w:rsidP="002D0C37">
            <w:pPr>
              <w:jc w:val="right"/>
              <w:rPr>
                <w:b/>
                <w:bCs/>
                <w:sz w:val="20"/>
                <w:szCs w:val="20"/>
              </w:rPr>
            </w:pPr>
            <w:r w:rsidRPr="00332E82">
              <w:rPr>
                <w:b/>
                <w:bCs/>
                <w:sz w:val="20"/>
                <w:szCs w:val="20"/>
              </w:rPr>
              <w:t>336.553,00</w:t>
            </w:r>
          </w:p>
        </w:tc>
        <w:tc>
          <w:tcPr>
            <w:tcW w:w="1450" w:type="dxa"/>
            <w:noWrap/>
            <w:hideMark/>
          </w:tcPr>
          <w:p w:rsidR="002D0C37" w:rsidRPr="00332E82" w:rsidRDefault="002D0C37" w:rsidP="002D0C37">
            <w:pPr>
              <w:jc w:val="right"/>
              <w:rPr>
                <w:b/>
                <w:bCs/>
                <w:sz w:val="20"/>
                <w:szCs w:val="20"/>
              </w:rPr>
            </w:pPr>
            <w:r w:rsidRPr="00332E82">
              <w:rPr>
                <w:b/>
                <w:bCs/>
                <w:sz w:val="20"/>
                <w:szCs w:val="20"/>
              </w:rPr>
              <w:t>295.986,20</w:t>
            </w:r>
          </w:p>
        </w:tc>
        <w:tc>
          <w:tcPr>
            <w:tcW w:w="1133" w:type="dxa"/>
            <w:noWrap/>
            <w:hideMark/>
          </w:tcPr>
          <w:p w:rsidR="002D0C37" w:rsidRPr="00332E82" w:rsidRDefault="002D0C37" w:rsidP="002D0C37">
            <w:pPr>
              <w:jc w:val="right"/>
              <w:rPr>
                <w:b/>
                <w:bCs/>
                <w:sz w:val="20"/>
                <w:szCs w:val="20"/>
              </w:rPr>
            </w:pPr>
            <w:r w:rsidRPr="00332E82">
              <w:rPr>
                <w:b/>
                <w:bCs/>
                <w:sz w:val="20"/>
                <w:szCs w:val="20"/>
              </w:rPr>
              <w:t>103,09%</w:t>
            </w:r>
          </w:p>
        </w:tc>
        <w:tc>
          <w:tcPr>
            <w:tcW w:w="1134" w:type="dxa"/>
            <w:noWrap/>
            <w:hideMark/>
          </w:tcPr>
          <w:p w:rsidR="002D0C37" w:rsidRPr="00332E82" w:rsidRDefault="002D0C37" w:rsidP="002D0C37">
            <w:pPr>
              <w:jc w:val="right"/>
              <w:rPr>
                <w:b/>
                <w:bCs/>
                <w:sz w:val="20"/>
                <w:szCs w:val="20"/>
              </w:rPr>
            </w:pPr>
            <w:r w:rsidRPr="00332E82">
              <w:rPr>
                <w:b/>
                <w:bCs/>
                <w:sz w:val="20"/>
                <w:szCs w:val="20"/>
              </w:rPr>
              <w:t>87,95%</w:t>
            </w: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641 Prihodi od financijske imovine</w:t>
            </w:r>
          </w:p>
        </w:tc>
        <w:tc>
          <w:tcPr>
            <w:tcW w:w="1384" w:type="dxa"/>
            <w:noWrap/>
            <w:hideMark/>
          </w:tcPr>
          <w:p w:rsidR="002D0C37" w:rsidRPr="00332E82" w:rsidRDefault="002D0C37" w:rsidP="002D0C37">
            <w:pPr>
              <w:jc w:val="right"/>
              <w:rPr>
                <w:sz w:val="20"/>
                <w:szCs w:val="20"/>
              </w:rPr>
            </w:pPr>
            <w:r w:rsidRPr="00332E82">
              <w:rPr>
                <w:sz w:val="20"/>
                <w:szCs w:val="20"/>
              </w:rPr>
              <w:t>2.043,06</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4.560,87</w:t>
            </w:r>
          </w:p>
        </w:tc>
        <w:tc>
          <w:tcPr>
            <w:tcW w:w="1133" w:type="dxa"/>
            <w:noWrap/>
            <w:hideMark/>
          </w:tcPr>
          <w:p w:rsidR="002D0C37" w:rsidRPr="00332E82" w:rsidRDefault="002D0C37" w:rsidP="002D0C37">
            <w:pPr>
              <w:jc w:val="right"/>
              <w:rPr>
                <w:sz w:val="20"/>
                <w:szCs w:val="20"/>
              </w:rPr>
            </w:pPr>
            <w:r w:rsidRPr="00332E82">
              <w:rPr>
                <w:sz w:val="20"/>
                <w:szCs w:val="20"/>
              </w:rPr>
              <w:t>223,24%</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6413 Kamate na oročena sredstva i depozite po viđenju</w:t>
            </w:r>
          </w:p>
        </w:tc>
        <w:tc>
          <w:tcPr>
            <w:tcW w:w="1384" w:type="dxa"/>
            <w:noWrap/>
            <w:hideMark/>
          </w:tcPr>
          <w:p w:rsidR="002D0C37" w:rsidRPr="00332E82" w:rsidRDefault="002D0C37" w:rsidP="002D0C37">
            <w:pPr>
              <w:jc w:val="right"/>
              <w:rPr>
                <w:sz w:val="20"/>
                <w:szCs w:val="20"/>
              </w:rPr>
            </w:pPr>
            <w:r w:rsidRPr="00332E82">
              <w:rPr>
                <w:sz w:val="20"/>
                <w:szCs w:val="20"/>
              </w:rPr>
              <w:t>770,77</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356,56</w:t>
            </w:r>
          </w:p>
        </w:tc>
        <w:tc>
          <w:tcPr>
            <w:tcW w:w="1133" w:type="dxa"/>
            <w:noWrap/>
            <w:hideMark/>
          </w:tcPr>
          <w:p w:rsidR="002D0C37" w:rsidRPr="00332E82" w:rsidRDefault="002D0C37" w:rsidP="002D0C37">
            <w:pPr>
              <w:jc w:val="right"/>
              <w:rPr>
                <w:sz w:val="20"/>
                <w:szCs w:val="20"/>
              </w:rPr>
            </w:pPr>
            <w:r w:rsidRPr="00332E82">
              <w:rPr>
                <w:sz w:val="20"/>
                <w:szCs w:val="20"/>
              </w:rPr>
              <w:t>46,26%</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6414 Prihodi od zateznih kamata</w:t>
            </w:r>
          </w:p>
        </w:tc>
        <w:tc>
          <w:tcPr>
            <w:tcW w:w="1384" w:type="dxa"/>
            <w:noWrap/>
            <w:hideMark/>
          </w:tcPr>
          <w:p w:rsidR="002D0C37" w:rsidRPr="00332E82" w:rsidRDefault="002D0C37" w:rsidP="002D0C37">
            <w:pPr>
              <w:jc w:val="right"/>
              <w:rPr>
                <w:sz w:val="20"/>
                <w:szCs w:val="20"/>
              </w:rPr>
            </w:pPr>
            <w:r w:rsidRPr="00332E82">
              <w:rPr>
                <w:sz w:val="20"/>
                <w:szCs w:val="20"/>
              </w:rPr>
              <w:t>1.272,29</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4.204,31</w:t>
            </w:r>
          </w:p>
        </w:tc>
        <w:tc>
          <w:tcPr>
            <w:tcW w:w="1133" w:type="dxa"/>
            <w:noWrap/>
            <w:hideMark/>
          </w:tcPr>
          <w:p w:rsidR="002D0C37" w:rsidRPr="00332E82" w:rsidRDefault="002D0C37" w:rsidP="002D0C37">
            <w:pPr>
              <w:jc w:val="right"/>
              <w:rPr>
                <w:sz w:val="20"/>
                <w:szCs w:val="20"/>
              </w:rPr>
            </w:pPr>
            <w:r w:rsidRPr="00332E82">
              <w:rPr>
                <w:sz w:val="20"/>
                <w:szCs w:val="20"/>
              </w:rPr>
              <w:t>330,45%</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642 Prihodi od nefinancijske imovine</w:t>
            </w:r>
          </w:p>
        </w:tc>
        <w:tc>
          <w:tcPr>
            <w:tcW w:w="1384" w:type="dxa"/>
            <w:noWrap/>
            <w:hideMark/>
          </w:tcPr>
          <w:p w:rsidR="002D0C37" w:rsidRPr="00332E82" w:rsidRDefault="002D0C37" w:rsidP="002D0C37">
            <w:pPr>
              <w:jc w:val="right"/>
              <w:rPr>
                <w:sz w:val="20"/>
                <w:szCs w:val="20"/>
              </w:rPr>
            </w:pPr>
            <w:r w:rsidRPr="00332E82">
              <w:rPr>
                <w:sz w:val="20"/>
                <w:szCs w:val="20"/>
              </w:rPr>
              <w:t>285.068,18</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291.425,33</w:t>
            </w:r>
          </w:p>
        </w:tc>
        <w:tc>
          <w:tcPr>
            <w:tcW w:w="1133" w:type="dxa"/>
            <w:noWrap/>
            <w:hideMark/>
          </w:tcPr>
          <w:p w:rsidR="002D0C37" w:rsidRPr="00332E82" w:rsidRDefault="002D0C37" w:rsidP="002D0C37">
            <w:pPr>
              <w:jc w:val="right"/>
              <w:rPr>
                <w:sz w:val="20"/>
                <w:szCs w:val="20"/>
              </w:rPr>
            </w:pPr>
            <w:r w:rsidRPr="00332E82">
              <w:rPr>
                <w:sz w:val="20"/>
                <w:szCs w:val="20"/>
              </w:rPr>
              <w:t>102,23%</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6421 Naknade za koncesije</w:t>
            </w:r>
          </w:p>
        </w:tc>
        <w:tc>
          <w:tcPr>
            <w:tcW w:w="1384" w:type="dxa"/>
            <w:noWrap/>
            <w:hideMark/>
          </w:tcPr>
          <w:p w:rsidR="002D0C37" w:rsidRPr="00332E82" w:rsidRDefault="002D0C37" w:rsidP="002D0C37">
            <w:pPr>
              <w:jc w:val="right"/>
              <w:rPr>
                <w:sz w:val="20"/>
                <w:szCs w:val="20"/>
              </w:rPr>
            </w:pPr>
            <w:r w:rsidRPr="00332E82">
              <w:rPr>
                <w:sz w:val="20"/>
                <w:szCs w:val="20"/>
              </w:rPr>
              <w:t>49.341,28</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64.102,20</w:t>
            </w:r>
          </w:p>
        </w:tc>
        <w:tc>
          <w:tcPr>
            <w:tcW w:w="1133" w:type="dxa"/>
            <w:noWrap/>
            <w:hideMark/>
          </w:tcPr>
          <w:p w:rsidR="002D0C37" w:rsidRPr="00332E82" w:rsidRDefault="002D0C37" w:rsidP="002D0C37">
            <w:pPr>
              <w:jc w:val="right"/>
              <w:rPr>
                <w:sz w:val="20"/>
                <w:szCs w:val="20"/>
              </w:rPr>
            </w:pPr>
            <w:r w:rsidRPr="00332E82">
              <w:rPr>
                <w:sz w:val="20"/>
                <w:szCs w:val="20"/>
              </w:rPr>
              <w:t>129,92%</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6422 Prihodi od zakupa i iznajmljivanja imovine</w:t>
            </w:r>
          </w:p>
        </w:tc>
        <w:tc>
          <w:tcPr>
            <w:tcW w:w="1384" w:type="dxa"/>
            <w:noWrap/>
            <w:hideMark/>
          </w:tcPr>
          <w:p w:rsidR="002D0C37" w:rsidRPr="00332E82" w:rsidRDefault="002D0C37" w:rsidP="002D0C37">
            <w:pPr>
              <w:jc w:val="right"/>
              <w:rPr>
                <w:sz w:val="20"/>
                <w:szCs w:val="20"/>
              </w:rPr>
            </w:pPr>
            <w:r w:rsidRPr="00332E82">
              <w:rPr>
                <w:sz w:val="20"/>
                <w:szCs w:val="20"/>
              </w:rPr>
              <w:t>228.266,96</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217.836,64</w:t>
            </w:r>
          </w:p>
        </w:tc>
        <w:tc>
          <w:tcPr>
            <w:tcW w:w="1133" w:type="dxa"/>
            <w:noWrap/>
            <w:hideMark/>
          </w:tcPr>
          <w:p w:rsidR="002D0C37" w:rsidRPr="00332E82" w:rsidRDefault="002D0C37" w:rsidP="002D0C37">
            <w:pPr>
              <w:jc w:val="right"/>
              <w:rPr>
                <w:sz w:val="20"/>
                <w:szCs w:val="20"/>
              </w:rPr>
            </w:pPr>
            <w:r w:rsidRPr="00332E82">
              <w:rPr>
                <w:sz w:val="20"/>
                <w:szCs w:val="20"/>
              </w:rPr>
              <w:t>95,43%</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6423 Naknada za korištenje nefinancijske imovine</w:t>
            </w:r>
          </w:p>
        </w:tc>
        <w:tc>
          <w:tcPr>
            <w:tcW w:w="1384" w:type="dxa"/>
            <w:noWrap/>
            <w:hideMark/>
          </w:tcPr>
          <w:p w:rsidR="002D0C37" w:rsidRPr="00332E82" w:rsidRDefault="002D0C37" w:rsidP="002D0C37">
            <w:pPr>
              <w:jc w:val="right"/>
              <w:rPr>
                <w:sz w:val="20"/>
                <w:szCs w:val="20"/>
              </w:rPr>
            </w:pPr>
            <w:r w:rsidRPr="00332E82">
              <w:rPr>
                <w:sz w:val="20"/>
                <w:szCs w:val="20"/>
              </w:rPr>
              <w:t>9,52</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11,73</w:t>
            </w:r>
          </w:p>
        </w:tc>
        <w:tc>
          <w:tcPr>
            <w:tcW w:w="1133" w:type="dxa"/>
            <w:noWrap/>
            <w:hideMark/>
          </w:tcPr>
          <w:p w:rsidR="002D0C37" w:rsidRPr="00332E82" w:rsidRDefault="002D0C37" w:rsidP="002D0C37">
            <w:pPr>
              <w:jc w:val="right"/>
              <w:rPr>
                <w:sz w:val="20"/>
                <w:szCs w:val="20"/>
              </w:rPr>
            </w:pPr>
            <w:r w:rsidRPr="00332E82">
              <w:rPr>
                <w:sz w:val="20"/>
                <w:szCs w:val="20"/>
              </w:rPr>
              <w:t>123,21%</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6429 Ostali prihodi od nefinancijske imovine</w:t>
            </w:r>
          </w:p>
        </w:tc>
        <w:tc>
          <w:tcPr>
            <w:tcW w:w="1384" w:type="dxa"/>
            <w:noWrap/>
            <w:hideMark/>
          </w:tcPr>
          <w:p w:rsidR="002D0C37" w:rsidRPr="00332E82" w:rsidRDefault="002D0C37" w:rsidP="002D0C37">
            <w:pPr>
              <w:jc w:val="right"/>
              <w:rPr>
                <w:sz w:val="20"/>
                <w:szCs w:val="20"/>
              </w:rPr>
            </w:pPr>
            <w:r w:rsidRPr="00332E82">
              <w:rPr>
                <w:sz w:val="20"/>
                <w:szCs w:val="20"/>
              </w:rPr>
              <w:t>7.450,42</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9.474,76</w:t>
            </w:r>
          </w:p>
        </w:tc>
        <w:tc>
          <w:tcPr>
            <w:tcW w:w="1133" w:type="dxa"/>
            <w:noWrap/>
            <w:hideMark/>
          </w:tcPr>
          <w:p w:rsidR="002D0C37" w:rsidRPr="00332E82" w:rsidRDefault="002D0C37" w:rsidP="002D0C37">
            <w:pPr>
              <w:jc w:val="right"/>
              <w:rPr>
                <w:sz w:val="20"/>
                <w:szCs w:val="20"/>
              </w:rPr>
            </w:pPr>
            <w:r w:rsidRPr="00332E82">
              <w:rPr>
                <w:sz w:val="20"/>
                <w:szCs w:val="20"/>
              </w:rPr>
              <w:t>127,17%</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b/>
                <w:bCs/>
                <w:sz w:val="20"/>
                <w:szCs w:val="20"/>
              </w:rPr>
            </w:pPr>
            <w:r w:rsidRPr="00332E82">
              <w:rPr>
                <w:b/>
                <w:bCs/>
                <w:sz w:val="20"/>
                <w:szCs w:val="20"/>
              </w:rPr>
              <w:t>65 Prihodi od upravnih i administrativnih pristojbi, pristojbi po posebnim propisima i naknada</w:t>
            </w:r>
          </w:p>
        </w:tc>
        <w:tc>
          <w:tcPr>
            <w:tcW w:w="1384" w:type="dxa"/>
            <w:noWrap/>
            <w:hideMark/>
          </w:tcPr>
          <w:p w:rsidR="002D0C37" w:rsidRPr="00332E82" w:rsidRDefault="002D0C37" w:rsidP="002D0C37">
            <w:pPr>
              <w:jc w:val="right"/>
              <w:rPr>
                <w:b/>
                <w:bCs/>
                <w:sz w:val="20"/>
                <w:szCs w:val="20"/>
              </w:rPr>
            </w:pPr>
            <w:r w:rsidRPr="00332E82">
              <w:rPr>
                <w:b/>
                <w:bCs/>
                <w:sz w:val="20"/>
                <w:szCs w:val="20"/>
              </w:rPr>
              <w:t>430.742,06</w:t>
            </w:r>
          </w:p>
        </w:tc>
        <w:tc>
          <w:tcPr>
            <w:tcW w:w="1384" w:type="dxa"/>
            <w:noWrap/>
            <w:hideMark/>
          </w:tcPr>
          <w:p w:rsidR="002D0C37" w:rsidRPr="00332E82" w:rsidRDefault="002D0C37" w:rsidP="002D0C37">
            <w:pPr>
              <w:jc w:val="right"/>
              <w:rPr>
                <w:b/>
                <w:bCs/>
                <w:sz w:val="20"/>
                <w:szCs w:val="20"/>
              </w:rPr>
            </w:pPr>
            <w:r w:rsidRPr="00332E82">
              <w:rPr>
                <w:b/>
                <w:bCs/>
                <w:sz w:val="20"/>
                <w:szCs w:val="20"/>
              </w:rPr>
              <w:t>434.430,00</w:t>
            </w:r>
          </w:p>
        </w:tc>
        <w:tc>
          <w:tcPr>
            <w:tcW w:w="1450" w:type="dxa"/>
            <w:noWrap/>
            <w:hideMark/>
          </w:tcPr>
          <w:p w:rsidR="002D0C37" w:rsidRPr="00332E82" w:rsidRDefault="002D0C37" w:rsidP="002D0C37">
            <w:pPr>
              <w:jc w:val="right"/>
              <w:rPr>
                <w:b/>
                <w:bCs/>
                <w:sz w:val="20"/>
                <w:szCs w:val="20"/>
              </w:rPr>
            </w:pPr>
            <w:r w:rsidRPr="00332E82">
              <w:rPr>
                <w:b/>
                <w:bCs/>
                <w:sz w:val="20"/>
                <w:szCs w:val="20"/>
              </w:rPr>
              <w:t>415.614,69</w:t>
            </w:r>
          </w:p>
        </w:tc>
        <w:tc>
          <w:tcPr>
            <w:tcW w:w="1133" w:type="dxa"/>
            <w:noWrap/>
            <w:hideMark/>
          </w:tcPr>
          <w:p w:rsidR="002D0C37" w:rsidRPr="00332E82" w:rsidRDefault="002D0C37" w:rsidP="002D0C37">
            <w:pPr>
              <w:jc w:val="right"/>
              <w:rPr>
                <w:b/>
                <w:bCs/>
                <w:sz w:val="20"/>
                <w:szCs w:val="20"/>
              </w:rPr>
            </w:pPr>
            <w:r w:rsidRPr="00332E82">
              <w:rPr>
                <w:b/>
                <w:bCs/>
                <w:sz w:val="20"/>
                <w:szCs w:val="20"/>
              </w:rPr>
              <w:t>96,49%</w:t>
            </w:r>
          </w:p>
        </w:tc>
        <w:tc>
          <w:tcPr>
            <w:tcW w:w="1134" w:type="dxa"/>
            <w:noWrap/>
            <w:hideMark/>
          </w:tcPr>
          <w:p w:rsidR="002D0C37" w:rsidRPr="00332E82" w:rsidRDefault="002D0C37" w:rsidP="002D0C37">
            <w:pPr>
              <w:jc w:val="right"/>
              <w:rPr>
                <w:b/>
                <w:bCs/>
                <w:sz w:val="20"/>
                <w:szCs w:val="20"/>
              </w:rPr>
            </w:pPr>
            <w:r w:rsidRPr="00332E82">
              <w:rPr>
                <w:b/>
                <w:bCs/>
                <w:sz w:val="20"/>
                <w:szCs w:val="20"/>
              </w:rPr>
              <w:t>95,67%</w:t>
            </w: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651 Upravne i administrativne pristojbe</w:t>
            </w:r>
          </w:p>
        </w:tc>
        <w:tc>
          <w:tcPr>
            <w:tcW w:w="1384" w:type="dxa"/>
            <w:noWrap/>
            <w:hideMark/>
          </w:tcPr>
          <w:p w:rsidR="002D0C37" w:rsidRPr="00332E82" w:rsidRDefault="002D0C37" w:rsidP="002D0C37">
            <w:pPr>
              <w:jc w:val="right"/>
              <w:rPr>
                <w:sz w:val="20"/>
                <w:szCs w:val="20"/>
              </w:rPr>
            </w:pPr>
            <w:r w:rsidRPr="00332E82">
              <w:rPr>
                <w:sz w:val="20"/>
                <w:szCs w:val="20"/>
              </w:rPr>
              <w:t>57.989,33</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69.640,39</w:t>
            </w:r>
          </w:p>
        </w:tc>
        <w:tc>
          <w:tcPr>
            <w:tcW w:w="1133" w:type="dxa"/>
            <w:noWrap/>
            <w:hideMark/>
          </w:tcPr>
          <w:p w:rsidR="002D0C37" w:rsidRPr="00332E82" w:rsidRDefault="002D0C37" w:rsidP="002D0C37">
            <w:pPr>
              <w:jc w:val="right"/>
              <w:rPr>
                <w:sz w:val="20"/>
                <w:szCs w:val="20"/>
              </w:rPr>
            </w:pPr>
            <w:r w:rsidRPr="00332E82">
              <w:rPr>
                <w:sz w:val="20"/>
                <w:szCs w:val="20"/>
              </w:rPr>
              <w:t>120,09%</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6512 Županijske, gradske i općinske pristojbe i naknade</w:t>
            </w:r>
          </w:p>
        </w:tc>
        <w:tc>
          <w:tcPr>
            <w:tcW w:w="1384" w:type="dxa"/>
            <w:noWrap/>
            <w:hideMark/>
          </w:tcPr>
          <w:p w:rsidR="002D0C37" w:rsidRPr="00332E82" w:rsidRDefault="002D0C37" w:rsidP="002D0C37">
            <w:pPr>
              <w:jc w:val="right"/>
              <w:rPr>
                <w:sz w:val="20"/>
                <w:szCs w:val="20"/>
              </w:rPr>
            </w:pPr>
            <w:r w:rsidRPr="00332E82">
              <w:rPr>
                <w:sz w:val="20"/>
                <w:szCs w:val="20"/>
              </w:rPr>
              <w:t>2.178,89</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4.118,58</w:t>
            </w:r>
          </w:p>
        </w:tc>
        <w:tc>
          <w:tcPr>
            <w:tcW w:w="1133" w:type="dxa"/>
            <w:noWrap/>
            <w:hideMark/>
          </w:tcPr>
          <w:p w:rsidR="002D0C37" w:rsidRPr="00332E82" w:rsidRDefault="002D0C37" w:rsidP="002D0C37">
            <w:pPr>
              <w:jc w:val="right"/>
              <w:rPr>
                <w:sz w:val="20"/>
                <w:szCs w:val="20"/>
              </w:rPr>
            </w:pPr>
            <w:r w:rsidRPr="00332E82">
              <w:rPr>
                <w:sz w:val="20"/>
                <w:szCs w:val="20"/>
              </w:rPr>
              <w:t>189,02%</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6513 Ostale upravne pristojbe i naknade</w:t>
            </w:r>
          </w:p>
        </w:tc>
        <w:tc>
          <w:tcPr>
            <w:tcW w:w="1384" w:type="dxa"/>
            <w:noWrap/>
            <w:hideMark/>
          </w:tcPr>
          <w:p w:rsidR="002D0C37" w:rsidRPr="00332E82" w:rsidRDefault="002D0C37" w:rsidP="002D0C37">
            <w:pPr>
              <w:jc w:val="right"/>
              <w:rPr>
                <w:sz w:val="20"/>
                <w:szCs w:val="20"/>
              </w:rPr>
            </w:pPr>
            <w:r w:rsidRPr="00332E82">
              <w:rPr>
                <w:sz w:val="20"/>
                <w:szCs w:val="20"/>
              </w:rPr>
              <w:t>78,58</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210,86</w:t>
            </w:r>
          </w:p>
        </w:tc>
        <w:tc>
          <w:tcPr>
            <w:tcW w:w="1133" w:type="dxa"/>
            <w:noWrap/>
            <w:hideMark/>
          </w:tcPr>
          <w:p w:rsidR="002D0C37" w:rsidRPr="00332E82" w:rsidRDefault="002D0C37" w:rsidP="002D0C37">
            <w:pPr>
              <w:jc w:val="right"/>
              <w:rPr>
                <w:sz w:val="20"/>
                <w:szCs w:val="20"/>
              </w:rPr>
            </w:pPr>
            <w:r w:rsidRPr="00332E82">
              <w:rPr>
                <w:sz w:val="20"/>
                <w:szCs w:val="20"/>
              </w:rPr>
              <w:t>268,34%</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6514 Ostale pristojbe i naknade</w:t>
            </w:r>
          </w:p>
        </w:tc>
        <w:tc>
          <w:tcPr>
            <w:tcW w:w="1384" w:type="dxa"/>
            <w:noWrap/>
            <w:hideMark/>
          </w:tcPr>
          <w:p w:rsidR="002D0C37" w:rsidRPr="00332E82" w:rsidRDefault="002D0C37" w:rsidP="002D0C37">
            <w:pPr>
              <w:jc w:val="right"/>
              <w:rPr>
                <w:sz w:val="20"/>
                <w:szCs w:val="20"/>
              </w:rPr>
            </w:pPr>
            <w:r w:rsidRPr="00332E82">
              <w:rPr>
                <w:sz w:val="20"/>
                <w:szCs w:val="20"/>
              </w:rPr>
              <w:t>55.731,86</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65.310,95</w:t>
            </w:r>
          </w:p>
        </w:tc>
        <w:tc>
          <w:tcPr>
            <w:tcW w:w="1133" w:type="dxa"/>
            <w:noWrap/>
            <w:hideMark/>
          </w:tcPr>
          <w:p w:rsidR="002D0C37" w:rsidRPr="00332E82" w:rsidRDefault="002D0C37" w:rsidP="002D0C37">
            <w:pPr>
              <w:jc w:val="right"/>
              <w:rPr>
                <w:sz w:val="20"/>
                <w:szCs w:val="20"/>
              </w:rPr>
            </w:pPr>
            <w:r w:rsidRPr="00332E82">
              <w:rPr>
                <w:sz w:val="20"/>
                <w:szCs w:val="20"/>
              </w:rPr>
              <w:t>117,19%</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652 Prihodi po posebnim propisima</w:t>
            </w:r>
          </w:p>
        </w:tc>
        <w:tc>
          <w:tcPr>
            <w:tcW w:w="1384" w:type="dxa"/>
            <w:noWrap/>
            <w:hideMark/>
          </w:tcPr>
          <w:p w:rsidR="002D0C37" w:rsidRPr="00332E82" w:rsidRDefault="002D0C37" w:rsidP="002D0C37">
            <w:pPr>
              <w:jc w:val="right"/>
              <w:rPr>
                <w:sz w:val="20"/>
                <w:szCs w:val="20"/>
              </w:rPr>
            </w:pPr>
            <w:r w:rsidRPr="00332E82">
              <w:rPr>
                <w:sz w:val="20"/>
                <w:szCs w:val="20"/>
              </w:rPr>
              <w:t>144.009,24</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157.305,34</w:t>
            </w:r>
          </w:p>
        </w:tc>
        <w:tc>
          <w:tcPr>
            <w:tcW w:w="1133" w:type="dxa"/>
            <w:noWrap/>
            <w:hideMark/>
          </w:tcPr>
          <w:p w:rsidR="002D0C37" w:rsidRPr="00332E82" w:rsidRDefault="002D0C37" w:rsidP="002D0C37">
            <w:pPr>
              <w:jc w:val="right"/>
              <w:rPr>
                <w:sz w:val="20"/>
                <w:szCs w:val="20"/>
              </w:rPr>
            </w:pPr>
            <w:r w:rsidRPr="00332E82">
              <w:rPr>
                <w:sz w:val="20"/>
                <w:szCs w:val="20"/>
              </w:rPr>
              <w:t>109,23%</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6522 Prihodi vodnog gospodarstva</w:t>
            </w:r>
          </w:p>
        </w:tc>
        <w:tc>
          <w:tcPr>
            <w:tcW w:w="1384" w:type="dxa"/>
            <w:noWrap/>
            <w:hideMark/>
          </w:tcPr>
          <w:p w:rsidR="002D0C37" w:rsidRPr="00332E82" w:rsidRDefault="002D0C37" w:rsidP="002D0C37">
            <w:pPr>
              <w:jc w:val="right"/>
              <w:rPr>
                <w:sz w:val="20"/>
                <w:szCs w:val="20"/>
              </w:rPr>
            </w:pPr>
            <w:r w:rsidRPr="00332E82">
              <w:rPr>
                <w:sz w:val="20"/>
                <w:szCs w:val="20"/>
              </w:rPr>
              <w:t>959,61</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36,65</w:t>
            </w:r>
          </w:p>
        </w:tc>
        <w:tc>
          <w:tcPr>
            <w:tcW w:w="1133" w:type="dxa"/>
            <w:noWrap/>
            <w:hideMark/>
          </w:tcPr>
          <w:p w:rsidR="002D0C37" w:rsidRPr="00332E82" w:rsidRDefault="002D0C37" w:rsidP="002D0C37">
            <w:pPr>
              <w:jc w:val="right"/>
              <w:rPr>
                <w:sz w:val="20"/>
                <w:szCs w:val="20"/>
              </w:rPr>
            </w:pPr>
            <w:r w:rsidRPr="00332E82">
              <w:rPr>
                <w:sz w:val="20"/>
                <w:szCs w:val="20"/>
              </w:rPr>
              <w:t>3,82%</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6526 Ostali nespomenuti prihodi</w:t>
            </w:r>
          </w:p>
        </w:tc>
        <w:tc>
          <w:tcPr>
            <w:tcW w:w="1384" w:type="dxa"/>
            <w:noWrap/>
            <w:hideMark/>
          </w:tcPr>
          <w:p w:rsidR="002D0C37" w:rsidRPr="00332E82" w:rsidRDefault="002D0C37" w:rsidP="002D0C37">
            <w:pPr>
              <w:jc w:val="right"/>
              <w:rPr>
                <w:sz w:val="20"/>
                <w:szCs w:val="20"/>
              </w:rPr>
            </w:pPr>
            <w:r w:rsidRPr="00332E82">
              <w:rPr>
                <w:sz w:val="20"/>
                <w:szCs w:val="20"/>
              </w:rPr>
              <w:t>143.049,63</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157.268,69</w:t>
            </w:r>
          </w:p>
        </w:tc>
        <w:tc>
          <w:tcPr>
            <w:tcW w:w="1133" w:type="dxa"/>
            <w:noWrap/>
            <w:hideMark/>
          </w:tcPr>
          <w:p w:rsidR="002D0C37" w:rsidRPr="00332E82" w:rsidRDefault="002D0C37" w:rsidP="002D0C37">
            <w:pPr>
              <w:jc w:val="right"/>
              <w:rPr>
                <w:sz w:val="20"/>
                <w:szCs w:val="20"/>
              </w:rPr>
            </w:pPr>
            <w:r w:rsidRPr="00332E82">
              <w:rPr>
                <w:sz w:val="20"/>
                <w:szCs w:val="20"/>
              </w:rPr>
              <w:t>109,94%</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653 Komunalni doprinosi i naknade</w:t>
            </w:r>
          </w:p>
        </w:tc>
        <w:tc>
          <w:tcPr>
            <w:tcW w:w="1384" w:type="dxa"/>
            <w:noWrap/>
            <w:hideMark/>
          </w:tcPr>
          <w:p w:rsidR="002D0C37" w:rsidRPr="00332E82" w:rsidRDefault="002D0C37" w:rsidP="002D0C37">
            <w:pPr>
              <w:jc w:val="right"/>
              <w:rPr>
                <w:sz w:val="20"/>
                <w:szCs w:val="20"/>
              </w:rPr>
            </w:pPr>
            <w:r w:rsidRPr="00332E82">
              <w:rPr>
                <w:sz w:val="20"/>
                <w:szCs w:val="20"/>
              </w:rPr>
              <w:t>228.743,49</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188.668,96</w:t>
            </w:r>
          </w:p>
        </w:tc>
        <w:tc>
          <w:tcPr>
            <w:tcW w:w="1133" w:type="dxa"/>
            <w:noWrap/>
            <w:hideMark/>
          </w:tcPr>
          <w:p w:rsidR="002D0C37" w:rsidRPr="00332E82" w:rsidRDefault="002D0C37" w:rsidP="002D0C37">
            <w:pPr>
              <w:jc w:val="right"/>
              <w:rPr>
                <w:sz w:val="20"/>
                <w:szCs w:val="20"/>
              </w:rPr>
            </w:pPr>
            <w:r w:rsidRPr="00332E82">
              <w:rPr>
                <w:sz w:val="20"/>
                <w:szCs w:val="20"/>
              </w:rPr>
              <w:t>82,48%</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6531 Komunalni doprinosi</w:t>
            </w:r>
          </w:p>
        </w:tc>
        <w:tc>
          <w:tcPr>
            <w:tcW w:w="1384" w:type="dxa"/>
            <w:noWrap/>
            <w:hideMark/>
          </w:tcPr>
          <w:p w:rsidR="002D0C37" w:rsidRPr="00332E82" w:rsidRDefault="002D0C37" w:rsidP="002D0C37">
            <w:pPr>
              <w:jc w:val="right"/>
              <w:rPr>
                <w:sz w:val="20"/>
                <w:szCs w:val="20"/>
              </w:rPr>
            </w:pPr>
            <w:r w:rsidRPr="00332E82">
              <w:rPr>
                <w:sz w:val="20"/>
                <w:szCs w:val="20"/>
              </w:rPr>
              <w:t>74.845,57</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34.508,51</w:t>
            </w:r>
          </w:p>
        </w:tc>
        <w:tc>
          <w:tcPr>
            <w:tcW w:w="1133" w:type="dxa"/>
            <w:noWrap/>
            <w:hideMark/>
          </w:tcPr>
          <w:p w:rsidR="002D0C37" w:rsidRPr="00332E82" w:rsidRDefault="002D0C37" w:rsidP="002D0C37">
            <w:pPr>
              <w:jc w:val="right"/>
              <w:rPr>
                <w:sz w:val="20"/>
                <w:szCs w:val="20"/>
              </w:rPr>
            </w:pPr>
            <w:r w:rsidRPr="00332E82">
              <w:rPr>
                <w:sz w:val="20"/>
                <w:szCs w:val="20"/>
              </w:rPr>
              <w:t>46,11%</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6532 Komunalne naknade</w:t>
            </w:r>
          </w:p>
        </w:tc>
        <w:tc>
          <w:tcPr>
            <w:tcW w:w="1384" w:type="dxa"/>
            <w:noWrap/>
            <w:hideMark/>
          </w:tcPr>
          <w:p w:rsidR="002D0C37" w:rsidRPr="00332E82" w:rsidRDefault="002D0C37" w:rsidP="002D0C37">
            <w:pPr>
              <w:jc w:val="right"/>
              <w:rPr>
                <w:sz w:val="20"/>
                <w:szCs w:val="20"/>
              </w:rPr>
            </w:pPr>
            <w:r w:rsidRPr="00332E82">
              <w:rPr>
                <w:sz w:val="20"/>
                <w:szCs w:val="20"/>
              </w:rPr>
              <w:t>153.897,92</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154.160,45</w:t>
            </w:r>
          </w:p>
        </w:tc>
        <w:tc>
          <w:tcPr>
            <w:tcW w:w="1133" w:type="dxa"/>
            <w:noWrap/>
            <w:hideMark/>
          </w:tcPr>
          <w:p w:rsidR="002D0C37" w:rsidRPr="00332E82" w:rsidRDefault="002D0C37" w:rsidP="002D0C37">
            <w:pPr>
              <w:jc w:val="right"/>
              <w:rPr>
                <w:sz w:val="20"/>
                <w:szCs w:val="20"/>
              </w:rPr>
            </w:pPr>
            <w:r w:rsidRPr="00332E82">
              <w:rPr>
                <w:sz w:val="20"/>
                <w:szCs w:val="20"/>
              </w:rPr>
              <w:t>100,17%</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b/>
                <w:bCs/>
                <w:sz w:val="20"/>
                <w:szCs w:val="20"/>
              </w:rPr>
            </w:pPr>
            <w:r w:rsidRPr="00332E82">
              <w:rPr>
                <w:b/>
                <w:bCs/>
                <w:sz w:val="20"/>
                <w:szCs w:val="20"/>
              </w:rPr>
              <w:t>66 Prihodi od prodaje proizvoda i robe te pruženih usluga, prihodi od donacija te povrati po protestira</w:t>
            </w:r>
            <w:r w:rsidR="005C4E18">
              <w:rPr>
                <w:b/>
                <w:bCs/>
                <w:sz w:val="20"/>
                <w:szCs w:val="20"/>
              </w:rPr>
              <w:t>nim jamstvima</w:t>
            </w:r>
          </w:p>
        </w:tc>
        <w:tc>
          <w:tcPr>
            <w:tcW w:w="1384" w:type="dxa"/>
            <w:noWrap/>
            <w:hideMark/>
          </w:tcPr>
          <w:p w:rsidR="002D0C37" w:rsidRPr="00332E82" w:rsidRDefault="002D0C37" w:rsidP="002D0C37">
            <w:pPr>
              <w:jc w:val="right"/>
              <w:rPr>
                <w:b/>
                <w:bCs/>
                <w:sz w:val="20"/>
                <w:szCs w:val="20"/>
              </w:rPr>
            </w:pPr>
            <w:r w:rsidRPr="00332E82">
              <w:rPr>
                <w:b/>
                <w:bCs/>
                <w:sz w:val="20"/>
                <w:szCs w:val="20"/>
              </w:rPr>
              <w:t>18.130,00</w:t>
            </w:r>
          </w:p>
        </w:tc>
        <w:tc>
          <w:tcPr>
            <w:tcW w:w="1384" w:type="dxa"/>
            <w:noWrap/>
            <w:hideMark/>
          </w:tcPr>
          <w:p w:rsidR="002D0C37" w:rsidRPr="00332E82" w:rsidRDefault="002D0C37" w:rsidP="002D0C37">
            <w:pPr>
              <w:jc w:val="right"/>
              <w:rPr>
                <w:b/>
                <w:bCs/>
                <w:sz w:val="20"/>
                <w:szCs w:val="20"/>
              </w:rPr>
            </w:pPr>
            <w:r w:rsidRPr="00332E82">
              <w:rPr>
                <w:b/>
                <w:bCs/>
                <w:sz w:val="20"/>
                <w:szCs w:val="20"/>
              </w:rPr>
              <w:t>25.103,00</w:t>
            </w:r>
          </w:p>
        </w:tc>
        <w:tc>
          <w:tcPr>
            <w:tcW w:w="1450" w:type="dxa"/>
            <w:noWrap/>
            <w:hideMark/>
          </w:tcPr>
          <w:p w:rsidR="002D0C37" w:rsidRPr="00332E82" w:rsidRDefault="002D0C37" w:rsidP="002D0C37">
            <w:pPr>
              <w:jc w:val="right"/>
              <w:rPr>
                <w:b/>
                <w:bCs/>
                <w:sz w:val="20"/>
                <w:szCs w:val="20"/>
              </w:rPr>
            </w:pPr>
            <w:r w:rsidRPr="00332E82">
              <w:rPr>
                <w:b/>
                <w:bCs/>
                <w:sz w:val="20"/>
                <w:szCs w:val="20"/>
              </w:rPr>
              <w:t>26.338,45</w:t>
            </w:r>
          </w:p>
        </w:tc>
        <w:tc>
          <w:tcPr>
            <w:tcW w:w="1133" w:type="dxa"/>
            <w:noWrap/>
            <w:hideMark/>
          </w:tcPr>
          <w:p w:rsidR="002D0C37" w:rsidRPr="00332E82" w:rsidRDefault="002D0C37" w:rsidP="002D0C37">
            <w:pPr>
              <w:jc w:val="right"/>
              <w:rPr>
                <w:b/>
                <w:bCs/>
                <w:sz w:val="20"/>
                <w:szCs w:val="20"/>
              </w:rPr>
            </w:pPr>
            <w:r w:rsidRPr="00332E82">
              <w:rPr>
                <w:b/>
                <w:bCs/>
                <w:sz w:val="20"/>
                <w:szCs w:val="20"/>
              </w:rPr>
              <w:t>145,28%</w:t>
            </w:r>
          </w:p>
        </w:tc>
        <w:tc>
          <w:tcPr>
            <w:tcW w:w="1134" w:type="dxa"/>
            <w:noWrap/>
            <w:hideMark/>
          </w:tcPr>
          <w:p w:rsidR="002D0C37" w:rsidRPr="00332E82" w:rsidRDefault="002D0C37" w:rsidP="002D0C37">
            <w:pPr>
              <w:jc w:val="right"/>
              <w:rPr>
                <w:b/>
                <w:bCs/>
                <w:sz w:val="20"/>
                <w:szCs w:val="20"/>
              </w:rPr>
            </w:pPr>
            <w:r w:rsidRPr="00332E82">
              <w:rPr>
                <w:b/>
                <w:bCs/>
                <w:sz w:val="20"/>
                <w:szCs w:val="20"/>
              </w:rPr>
              <w:t>104,92%</w:t>
            </w: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661 Prihodi od prodaje proizvoda i robe te pruženih usluga</w:t>
            </w:r>
          </w:p>
        </w:tc>
        <w:tc>
          <w:tcPr>
            <w:tcW w:w="1384" w:type="dxa"/>
            <w:noWrap/>
            <w:hideMark/>
          </w:tcPr>
          <w:p w:rsidR="002D0C37" w:rsidRPr="00332E82" w:rsidRDefault="005C4E18" w:rsidP="005C4E18">
            <w:pPr>
              <w:jc w:val="right"/>
              <w:rPr>
                <w:sz w:val="20"/>
                <w:szCs w:val="20"/>
              </w:rPr>
            </w:pPr>
            <w:r>
              <w:rPr>
                <w:sz w:val="20"/>
                <w:szCs w:val="20"/>
              </w:rPr>
              <w:t>0,00</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60,00</w:t>
            </w:r>
          </w:p>
        </w:tc>
        <w:tc>
          <w:tcPr>
            <w:tcW w:w="1133" w:type="dxa"/>
            <w:noWrap/>
            <w:hideMark/>
          </w:tcPr>
          <w:p w:rsidR="002D0C37" w:rsidRPr="00332E82" w:rsidRDefault="002D0C37" w:rsidP="002D0C37">
            <w:pPr>
              <w:jc w:val="right"/>
              <w:rPr>
                <w:sz w:val="20"/>
                <w:szCs w:val="20"/>
              </w:rPr>
            </w:pPr>
            <w:r w:rsidRPr="00332E82">
              <w:rPr>
                <w:sz w:val="20"/>
                <w:szCs w:val="20"/>
              </w:rPr>
              <w:t>0,00%</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6614 Prihodi od prodaje proizvoda i robe</w:t>
            </w:r>
          </w:p>
        </w:tc>
        <w:tc>
          <w:tcPr>
            <w:tcW w:w="1384" w:type="dxa"/>
            <w:noWrap/>
            <w:hideMark/>
          </w:tcPr>
          <w:p w:rsidR="002D0C37" w:rsidRPr="00332E82" w:rsidRDefault="005C4E18" w:rsidP="005C4E18">
            <w:pPr>
              <w:jc w:val="right"/>
              <w:rPr>
                <w:sz w:val="20"/>
                <w:szCs w:val="20"/>
              </w:rPr>
            </w:pPr>
            <w:r>
              <w:rPr>
                <w:sz w:val="20"/>
                <w:szCs w:val="20"/>
              </w:rPr>
              <w:t>0,00</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60,00</w:t>
            </w:r>
          </w:p>
        </w:tc>
        <w:tc>
          <w:tcPr>
            <w:tcW w:w="1133" w:type="dxa"/>
            <w:noWrap/>
            <w:hideMark/>
          </w:tcPr>
          <w:p w:rsidR="002D0C37" w:rsidRPr="00332E82" w:rsidRDefault="002D0C37" w:rsidP="002D0C37">
            <w:pPr>
              <w:jc w:val="right"/>
              <w:rPr>
                <w:sz w:val="20"/>
                <w:szCs w:val="20"/>
              </w:rPr>
            </w:pPr>
            <w:r w:rsidRPr="00332E82">
              <w:rPr>
                <w:sz w:val="20"/>
                <w:szCs w:val="20"/>
              </w:rPr>
              <w:t>0,00%</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663 Donacije od pravnih i fizičkih osoba izvan općeg proračuna te povrat donacija i kapitalnih pomoći po</w:t>
            </w:r>
            <w:r w:rsidR="005C4E18">
              <w:rPr>
                <w:sz w:val="20"/>
                <w:szCs w:val="20"/>
              </w:rPr>
              <w:t xml:space="preserve"> protestiranim jamstvima</w:t>
            </w:r>
          </w:p>
        </w:tc>
        <w:tc>
          <w:tcPr>
            <w:tcW w:w="1384" w:type="dxa"/>
            <w:noWrap/>
            <w:hideMark/>
          </w:tcPr>
          <w:p w:rsidR="002D0C37" w:rsidRPr="00332E82" w:rsidRDefault="002D0C37" w:rsidP="002D0C37">
            <w:pPr>
              <w:jc w:val="right"/>
              <w:rPr>
                <w:sz w:val="20"/>
                <w:szCs w:val="20"/>
              </w:rPr>
            </w:pPr>
            <w:r w:rsidRPr="00332E82">
              <w:rPr>
                <w:sz w:val="20"/>
                <w:szCs w:val="20"/>
              </w:rPr>
              <w:t>18.130,00</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26.278,45</w:t>
            </w:r>
          </w:p>
        </w:tc>
        <w:tc>
          <w:tcPr>
            <w:tcW w:w="1133" w:type="dxa"/>
            <w:noWrap/>
            <w:hideMark/>
          </w:tcPr>
          <w:p w:rsidR="002D0C37" w:rsidRPr="00332E82" w:rsidRDefault="002D0C37" w:rsidP="002D0C37">
            <w:pPr>
              <w:jc w:val="right"/>
              <w:rPr>
                <w:sz w:val="20"/>
                <w:szCs w:val="20"/>
              </w:rPr>
            </w:pPr>
            <w:r w:rsidRPr="00332E82">
              <w:rPr>
                <w:sz w:val="20"/>
                <w:szCs w:val="20"/>
              </w:rPr>
              <w:t>144,94%</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6631 Tekuće donacije</w:t>
            </w:r>
          </w:p>
        </w:tc>
        <w:tc>
          <w:tcPr>
            <w:tcW w:w="1384" w:type="dxa"/>
            <w:noWrap/>
            <w:hideMark/>
          </w:tcPr>
          <w:p w:rsidR="002D0C37" w:rsidRPr="00332E82" w:rsidRDefault="002D0C37" w:rsidP="002D0C37">
            <w:pPr>
              <w:jc w:val="right"/>
              <w:rPr>
                <w:sz w:val="20"/>
                <w:szCs w:val="20"/>
              </w:rPr>
            </w:pPr>
            <w:r w:rsidRPr="00332E82">
              <w:rPr>
                <w:sz w:val="20"/>
                <w:szCs w:val="20"/>
              </w:rPr>
              <w:t>9.530,00</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11.023,45</w:t>
            </w:r>
          </w:p>
        </w:tc>
        <w:tc>
          <w:tcPr>
            <w:tcW w:w="1133" w:type="dxa"/>
            <w:noWrap/>
            <w:hideMark/>
          </w:tcPr>
          <w:p w:rsidR="002D0C37" w:rsidRPr="00332E82" w:rsidRDefault="002D0C37" w:rsidP="002D0C37">
            <w:pPr>
              <w:jc w:val="right"/>
              <w:rPr>
                <w:sz w:val="20"/>
                <w:szCs w:val="20"/>
              </w:rPr>
            </w:pPr>
            <w:r w:rsidRPr="00332E82">
              <w:rPr>
                <w:sz w:val="20"/>
                <w:szCs w:val="20"/>
              </w:rPr>
              <w:t>115,67%</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6632 Kapitalne donacije</w:t>
            </w:r>
          </w:p>
        </w:tc>
        <w:tc>
          <w:tcPr>
            <w:tcW w:w="1384" w:type="dxa"/>
            <w:noWrap/>
            <w:hideMark/>
          </w:tcPr>
          <w:p w:rsidR="002D0C37" w:rsidRPr="00332E82" w:rsidRDefault="002D0C37" w:rsidP="002D0C37">
            <w:pPr>
              <w:jc w:val="right"/>
              <w:rPr>
                <w:sz w:val="20"/>
                <w:szCs w:val="20"/>
              </w:rPr>
            </w:pPr>
            <w:r w:rsidRPr="00332E82">
              <w:rPr>
                <w:sz w:val="20"/>
                <w:szCs w:val="20"/>
              </w:rPr>
              <w:t>8.600,00</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15.255,00</w:t>
            </w:r>
          </w:p>
        </w:tc>
        <w:tc>
          <w:tcPr>
            <w:tcW w:w="1133" w:type="dxa"/>
            <w:noWrap/>
            <w:hideMark/>
          </w:tcPr>
          <w:p w:rsidR="002D0C37" w:rsidRPr="00332E82" w:rsidRDefault="002D0C37" w:rsidP="002D0C37">
            <w:pPr>
              <w:jc w:val="right"/>
              <w:rPr>
                <w:sz w:val="20"/>
                <w:szCs w:val="20"/>
              </w:rPr>
            </w:pPr>
            <w:r w:rsidRPr="00332E82">
              <w:rPr>
                <w:sz w:val="20"/>
                <w:szCs w:val="20"/>
              </w:rPr>
              <w:t>177,38%</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b/>
                <w:bCs/>
                <w:sz w:val="20"/>
                <w:szCs w:val="20"/>
              </w:rPr>
            </w:pPr>
            <w:r w:rsidRPr="00332E82">
              <w:rPr>
                <w:b/>
                <w:bCs/>
                <w:sz w:val="20"/>
                <w:szCs w:val="20"/>
              </w:rPr>
              <w:t>68 Kazne, upravne mjere i ostali prihodi</w:t>
            </w:r>
          </w:p>
        </w:tc>
        <w:tc>
          <w:tcPr>
            <w:tcW w:w="1384" w:type="dxa"/>
            <w:noWrap/>
            <w:hideMark/>
          </w:tcPr>
          <w:p w:rsidR="002D0C37" w:rsidRPr="00332E82" w:rsidRDefault="002D0C37" w:rsidP="002D0C37">
            <w:pPr>
              <w:jc w:val="right"/>
              <w:rPr>
                <w:b/>
                <w:bCs/>
                <w:sz w:val="20"/>
                <w:szCs w:val="20"/>
              </w:rPr>
            </w:pPr>
            <w:r w:rsidRPr="00332E82">
              <w:rPr>
                <w:b/>
                <w:bCs/>
                <w:sz w:val="20"/>
                <w:szCs w:val="20"/>
              </w:rPr>
              <w:t>1.826,52</w:t>
            </w:r>
          </w:p>
        </w:tc>
        <w:tc>
          <w:tcPr>
            <w:tcW w:w="1384" w:type="dxa"/>
            <w:noWrap/>
            <w:hideMark/>
          </w:tcPr>
          <w:p w:rsidR="002D0C37" w:rsidRPr="00332E82" w:rsidRDefault="002D0C37" w:rsidP="002D0C37">
            <w:pPr>
              <w:jc w:val="right"/>
              <w:rPr>
                <w:b/>
                <w:bCs/>
                <w:sz w:val="20"/>
                <w:szCs w:val="20"/>
              </w:rPr>
            </w:pPr>
            <w:r w:rsidRPr="00332E82">
              <w:rPr>
                <w:b/>
                <w:bCs/>
                <w:sz w:val="20"/>
                <w:szCs w:val="20"/>
              </w:rPr>
              <w:t>12.764,00</w:t>
            </w:r>
          </w:p>
        </w:tc>
        <w:tc>
          <w:tcPr>
            <w:tcW w:w="1450" w:type="dxa"/>
            <w:noWrap/>
            <w:hideMark/>
          </w:tcPr>
          <w:p w:rsidR="002D0C37" w:rsidRPr="00332E82" w:rsidRDefault="002D0C37" w:rsidP="002D0C37">
            <w:pPr>
              <w:jc w:val="right"/>
              <w:rPr>
                <w:b/>
                <w:bCs/>
                <w:sz w:val="20"/>
                <w:szCs w:val="20"/>
              </w:rPr>
            </w:pPr>
            <w:r w:rsidRPr="00332E82">
              <w:rPr>
                <w:b/>
                <w:bCs/>
                <w:sz w:val="20"/>
                <w:szCs w:val="20"/>
              </w:rPr>
              <w:t>6.952,63</w:t>
            </w:r>
          </w:p>
        </w:tc>
        <w:tc>
          <w:tcPr>
            <w:tcW w:w="1133" w:type="dxa"/>
            <w:noWrap/>
            <w:hideMark/>
          </w:tcPr>
          <w:p w:rsidR="002D0C37" w:rsidRPr="00332E82" w:rsidRDefault="002D0C37" w:rsidP="002D0C37">
            <w:pPr>
              <w:jc w:val="right"/>
              <w:rPr>
                <w:b/>
                <w:bCs/>
                <w:sz w:val="20"/>
                <w:szCs w:val="20"/>
              </w:rPr>
            </w:pPr>
            <w:r w:rsidRPr="00332E82">
              <w:rPr>
                <w:b/>
                <w:bCs/>
                <w:sz w:val="20"/>
                <w:szCs w:val="20"/>
              </w:rPr>
              <w:t>380,65%</w:t>
            </w:r>
          </w:p>
        </w:tc>
        <w:tc>
          <w:tcPr>
            <w:tcW w:w="1134" w:type="dxa"/>
            <w:noWrap/>
            <w:hideMark/>
          </w:tcPr>
          <w:p w:rsidR="002D0C37" w:rsidRPr="00332E82" w:rsidRDefault="002D0C37" w:rsidP="002D0C37">
            <w:pPr>
              <w:jc w:val="right"/>
              <w:rPr>
                <w:b/>
                <w:bCs/>
                <w:sz w:val="20"/>
                <w:szCs w:val="20"/>
              </w:rPr>
            </w:pPr>
            <w:r w:rsidRPr="00332E82">
              <w:rPr>
                <w:b/>
                <w:bCs/>
                <w:sz w:val="20"/>
                <w:szCs w:val="20"/>
              </w:rPr>
              <w:t>54,47%</w:t>
            </w: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681 Kazne i upravne mjere</w:t>
            </w:r>
          </w:p>
        </w:tc>
        <w:tc>
          <w:tcPr>
            <w:tcW w:w="1384" w:type="dxa"/>
            <w:noWrap/>
            <w:hideMark/>
          </w:tcPr>
          <w:p w:rsidR="002D0C37" w:rsidRPr="00332E82" w:rsidRDefault="002D0C37" w:rsidP="002D0C37">
            <w:pPr>
              <w:jc w:val="right"/>
              <w:rPr>
                <w:sz w:val="20"/>
                <w:szCs w:val="20"/>
              </w:rPr>
            </w:pPr>
            <w:r w:rsidRPr="00332E82">
              <w:rPr>
                <w:sz w:val="20"/>
                <w:szCs w:val="20"/>
              </w:rPr>
              <w:t>882,59</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6.730,55</w:t>
            </w:r>
          </w:p>
        </w:tc>
        <w:tc>
          <w:tcPr>
            <w:tcW w:w="1133" w:type="dxa"/>
            <w:noWrap/>
            <w:hideMark/>
          </w:tcPr>
          <w:p w:rsidR="002D0C37" w:rsidRPr="00332E82" w:rsidRDefault="002D0C37" w:rsidP="002D0C37">
            <w:pPr>
              <w:jc w:val="right"/>
              <w:rPr>
                <w:sz w:val="20"/>
                <w:szCs w:val="20"/>
              </w:rPr>
            </w:pPr>
            <w:r w:rsidRPr="00332E82">
              <w:rPr>
                <w:sz w:val="20"/>
                <w:szCs w:val="20"/>
              </w:rPr>
              <w:t>762,59%</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6815 Kazne za prometne i ostale prekršaje u nadležnosti MUP-a</w:t>
            </w:r>
          </w:p>
        </w:tc>
        <w:tc>
          <w:tcPr>
            <w:tcW w:w="1384" w:type="dxa"/>
            <w:noWrap/>
            <w:hideMark/>
          </w:tcPr>
          <w:p w:rsidR="002D0C37" w:rsidRPr="00332E82" w:rsidRDefault="005C4E18" w:rsidP="005C4E18">
            <w:pPr>
              <w:jc w:val="right"/>
              <w:rPr>
                <w:sz w:val="20"/>
                <w:szCs w:val="20"/>
              </w:rPr>
            </w:pPr>
            <w:r>
              <w:rPr>
                <w:sz w:val="20"/>
                <w:szCs w:val="20"/>
              </w:rPr>
              <w:t>0,00</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4.715,15</w:t>
            </w:r>
          </w:p>
        </w:tc>
        <w:tc>
          <w:tcPr>
            <w:tcW w:w="1133" w:type="dxa"/>
            <w:noWrap/>
            <w:hideMark/>
          </w:tcPr>
          <w:p w:rsidR="002D0C37" w:rsidRPr="00332E82" w:rsidRDefault="002D0C37" w:rsidP="002D0C37">
            <w:pPr>
              <w:jc w:val="right"/>
              <w:rPr>
                <w:sz w:val="20"/>
                <w:szCs w:val="20"/>
              </w:rPr>
            </w:pPr>
            <w:r w:rsidRPr="00332E82">
              <w:rPr>
                <w:sz w:val="20"/>
                <w:szCs w:val="20"/>
              </w:rPr>
              <w:t>0,00%</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6818 Upravne mjere</w:t>
            </w:r>
          </w:p>
        </w:tc>
        <w:tc>
          <w:tcPr>
            <w:tcW w:w="1384" w:type="dxa"/>
            <w:noWrap/>
            <w:hideMark/>
          </w:tcPr>
          <w:p w:rsidR="002D0C37" w:rsidRPr="00332E82" w:rsidRDefault="002D0C37" w:rsidP="002D0C37">
            <w:pPr>
              <w:jc w:val="right"/>
              <w:rPr>
                <w:sz w:val="20"/>
                <w:szCs w:val="20"/>
              </w:rPr>
            </w:pPr>
            <w:r w:rsidRPr="00332E82">
              <w:rPr>
                <w:sz w:val="20"/>
                <w:szCs w:val="20"/>
              </w:rPr>
              <w:t>690,04</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1.442,32</w:t>
            </w:r>
          </w:p>
        </w:tc>
        <w:tc>
          <w:tcPr>
            <w:tcW w:w="1133" w:type="dxa"/>
            <w:noWrap/>
            <w:hideMark/>
          </w:tcPr>
          <w:p w:rsidR="002D0C37" w:rsidRPr="00332E82" w:rsidRDefault="002D0C37" w:rsidP="002D0C37">
            <w:pPr>
              <w:jc w:val="right"/>
              <w:rPr>
                <w:sz w:val="20"/>
                <w:szCs w:val="20"/>
              </w:rPr>
            </w:pPr>
            <w:r w:rsidRPr="00332E82">
              <w:rPr>
                <w:sz w:val="20"/>
                <w:szCs w:val="20"/>
              </w:rPr>
              <w:t>209,02%</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6819 Ostale kazne</w:t>
            </w:r>
          </w:p>
        </w:tc>
        <w:tc>
          <w:tcPr>
            <w:tcW w:w="1384" w:type="dxa"/>
            <w:noWrap/>
            <w:hideMark/>
          </w:tcPr>
          <w:p w:rsidR="002D0C37" w:rsidRPr="00332E82" w:rsidRDefault="002D0C37" w:rsidP="002D0C37">
            <w:pPr>
              <w:jc w:val="right"/>
              <w:rPr>
                <w:sz w:val="20"/>
                <w:szCs w:val="20"/>
              </w:rPr>
            </w:pPr>
            <w:r w:rsidRPr="00332E82">
              <w:rPr>
                <w:sz w:val="20"/>
                <w:szCs w:val="20"/>
              </w:rPr>
              <w:t>192,55</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573,08</w:t>
            </w:r>
          </w:p>
        </w:tc>
        <w:tc>
          <w:tcPr>
            <w:tcW w:w="1133" w:type="dxa"/>
            <w:noWrap/>
            <w:hideMark/>
          </w:tcPr>
          <w:p w:rsidR="002D0C37" w:rsidRPr="00332E82" w:rsidRDefault="002D0C37" w:rsidP="002D0C37">
            <w:pPr>
              <w:jc w:val="right"/>
              <w:rPr>
                <w:sz w:val="20"/>
                <w:szCs w:val="20"/>
              </w:rPr>
            </w:pPr>
            <w:r w:rsidRPr="00332E82">
              <w:rPr>
                <w:sz w:val="20"/>
                <w:szCs w:val="20"/>
              </w:rPr>
              <w:t>297,63%</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683 Ostali prihodi</w:t>
            </w:r>
          </w:p>
        </w:tc>
        <w:tc>
          <w:tcPr>
            <w:tcW w:w="1384" w:type="dxa"/>
            <w:noWrap/>
            <w:hideMark/>
          </w:tcPr>
          <w:p w:rsidR="002D0C37" w:rsidRPr="00332E82" w:rsidRDefault="002D0C37" w:rsidP="002D0C37">
            <w:pPr>
              <w:jc w:val="right"/>
              <w:rPr>
                <w:sz w:val="20"/>
                <w:szCs w:val="20"/>
              </w:rPr>
            </w:pPr>
            <w:r w:rsidRPr="00332E82">
              <w:rPr>
                <w:sz w:val="20"/>
                <w:szCs w:val="20"/>
              </w:rPr>
              <w:t>943,93</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222,08</w:t>
            </w:r>
          </w:p>
        </w:tc>
        <w:tc>
          <w:tcPr>
            <w:tcW w:w="1133" w:type="dxa"/>
            <w:noWrap/>
            <w:hideMark/>
          </w:tcPr>
          <w:p w:rsidR="002D0C37" w:rsidRPr="00332E82" w:rsidRDefault="002D0C37" w:rsidP="002D0C37">
            <w:pPr>
              <w:jc w:val="right"/>
              <w:rPr>
                <w:sz w:val="20"/>
                <w:szCs w:val="20"/>
              </w:rPr>
            </w:pPr>
            <w:r w:rsidRPr="00332E82">
              <w:rPr>
                <w:sz w:val="20"/>
                <w:szCs w:val="20"/>
              </w:rPr>
              <w:t>23,53%</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6831 Ostali prihodi</w:t>
            </w:r>
          </w:p>
        </w:tc>
        <w:tc>
          <w:tcPr>
            <w:tcW w:w="1384" w:type="dxa"/>
            <w:noWrap/>
            <w:hideMark/>
          </w:tcPr>
          <w:p w:rsidR="002D0C37" w:rsidRPr="00332E82" w:rsidRDefault="002D0C37" w:rsidP="002D0C37">
            <w:pPr>
              <w:jc w:val="right"/>
              <w:rPr>
                <w:sz w:val="20"/>
                <w:szCs w:val="20"/>
              </w:rPr>
            </w:pPr>
            <w:r w:rsidRPr="00332E82">
              <w:rPr>
                <w:sz w:val="20"/>
                <w:szCs w:val="20"/>
              </w:rPr>
              <w:t>943,93</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222,08</w:t>
            </w:r>
          </w:p>
        </w:tc>
        <w:tc>
          <w:tcPr>
            <w:tcW w:w="1133" w:type="dxa"/>
            <w:noWrap/>
            <w:hideMark/>
          </w:tcPr>
          <w:p w:rsidR="002D0C37" w:rsidRPr="00332E82" w:rsidRDefault="002D0C37" w:rsidP="002D0C37">
            <w:pPr>
              <w:jc w:val="right"/>
              <w:rPr>
                <w:sz w:val="20"/>
                <w:szCs w:val="20"/>
              </w:rPr>
            </w:pPr>
            <w:r w:rsidRPr="00332E82">
              <w:rPr>
                <w:sz w:val="20"/>
                <w:szCs w:val="20"/>
              </w:rPr>
              <w:t>23,53%</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shd w:val="clear" w:color="auto" w:fill="C4BC96" w:themeFill="background2" w:themeFillShade="BF"/>
            <w:noWrap/>
            <w:hideMark/>
          </w:tcPr>
          <w:p w:rsidR="002D0C37" w:rsidRPr="00332E82" w:rsidRDefault="002D0C37" w:rsidP="002D0C37">
            <w:pPr>
              <w:rPr>
                <w:b/>
                <w:bCs/>
                <w:sz w:val="20"/>
                <w:szCs w:val="20"/>
              </w:rPr>
            </w:pPr>
            <w:r w:rsidRPr="00332E82">
              <w:rPr>
                <w:b/>
                <w:bCs/>
                <w:sz w:val="20"/>
                <w:szCs w:val="20"/>
              </w:rPr>
              <w:t>7 Prihodi od prodaje nefinancijske imovine</w:t>
            </w:r>
          </w:p>
        </w:tc>
        <w:tc>
          <w:tcPr>
            <w:tcW w:w="1384" w:type="dxa"/>
            <w:shd w:val="clear" w:color="auto" w:fill="C4BC96" w:themeFill="background2" w:themeFillShade="BF"/>
            <w:noWrap/>
            <w:hideMark/>
          </w:tcPr>
          <w:p w:rsidR="002D0C37" w:rsidRPr="00332E82" w:rsidRDefault="002D0C37" w:rsidP="002D0C37">
            <w:pPr>
              <w:jc w:val="right"/>
              <w:rPr>
                <w:b/>
                <w:bCs/>
                <w:sz w:val="20"/>
                <w:szCs w:val="20"/>
              </w:rPr>
            </w:pPr>
            <w:r w:rsidRPr="00332E82">
              <w:rPr>
                <w:b/>
                <w:bCs/>
                <w:sz w:val="20"/>
                <w:szCs w:val="20"/>
              </w:rPr>
              <w:t>1.062,60</w:t>
            </w:r>
          </w:p>
        </w:tc>
        <w:tc>
          <w:tcPr>
            <w:tcW w:w="1384" w:type="dxa"/>
            <w:shd w:val="clear" w:color="auto" w:fill="C4BC96" w:themeFill="background2" w:themeFillShade="BF"/>
            <w:noWrap/>
            <w:hideMark/>
          </w:tcPr>
          <w:p w:rsidR="002D0C37" w:rsidRPr="00332E82" w:rsidRDefault="002D0C37" w:rsidP="002D0C37">
            <w:pPr>
              <w:jc w:val="right"/>
              <w:rPr>
                <w:b/>
                <w:bCs/>
                <w:sz w:val="20"/>
                <w:szCs w:val="20"/>
              </w:rPr>
            </w:pPr>
            <w:r w:rsidRPr="00332E82">
              <w:rPr>
                <w:b/>
                <w:bCs/>
                <w:sz w:val="20"/>
                <w:szCs w:val="20"/>
              </w:rPr>
              <w:t>27.000,00</w:t>
            </w:r>
          </w:p>
        </w:tc>
        <w:tc>
          <w:tcPr>
            <w:tcW w:w="1450" w:type="dxa"/>
            <w:shd w:val="clear" w:color="auto" w:fill="C4BC96" w:themeFill="background2" w:themeFillShade="BF"/>
            <w:noWrap/>
            <w:hideMark/>
          </w:tcPr>
          <w:p w:rsidR="002D0C37" w:rsidRPr="00332E82" w:rsidRDefault="002D0C37" w:rsidP="002D0C37">
            <w:pPr>
              <w:jc w:val="right"/>
              <w:rPr>
                <w:b/>
                <w:bCs/>
                <w:sz w:val="20"/>
                <w:szCs w:val="20"/>
              </w:rPr>
            </w:pPr>
            <w:r w:rsidRPr="00332E82">
              <w:rPr>
                <w:b/>
                <w:bCs/>
                <w:sz w:val="20"/>
                <w:szCs w:val="20"/>
              </w:rPr>
              <w:t>26.794,76</w:t>
            </w:r>
          </w:p>
        </w:tc>
        <w:tc>
          <w:tcPr>
            <w:tcW w:w="1133" w:type="dxa"/>
            <w:shd w:val="clear" w:color="auto" w:fill="C4BC96" w:themeFill="background2" w:themeFillShade="BF"/>
            <w:noWrap/>
            <w:hideMark/>
          </w:tcPr>
          <w:p w:rsidR="002D0C37" w:rsidRPr="00332E82" w:rsidRDefault="002D0C37" w:rsidP="002D0C37">
            <w:pPr>
              <w:jc w:val="right"/>
              <w:rPr>
                <w:b/>
                <w:bCs/>
                <w:sz w:val="20"/>
                <w:szCs w:val="20"/>
              </w:rPr>
            </w:pPr>
            <w:r w:rsidRPr="00332E82">
              <w:rPr>
                <w:b/>
                <w:bCs/>
                <w:sz w:val="20"/>
                <w:szCs w:val="20"/>
              </w:rPr>
              <w:t>2521,62%</w:t>
            </w:r>
          </w:p>
        </w:tc>
        <w:tc>
          <w:tcPr>
            <w:tcW w:w="1134" w:type="dxa"/>
            <w:shd w:val="clear" w:color="auto" w:fill="C4BC96" w:themeFill="background2" w:themeFillShade="BF"/>
            <w:noWrap/>
            <w:hideMark/>
          </w:tcPr>
          <w:p w:rsidR="002D0C37" w:rsidRPr="00332E82" w:rsidRDefault="002D0C37" w:rsidP="002D0C37">
            <w:pPr>
              <w:jc w:val="right"/>
              <w:rPr>
                <w:b/>
                <w:bCs/>
                <w:sz w:val="20"/>
                <w:szCs w:val="20"/>
              </w:rPr>
            </w:pPr>
            <w:r w:rsidRPr="00332E82">
              <w:rPr>
                <w:b/>
                <w:bCs/>
                <w:sz w:val="20"/>
                <w:szCs w:val="20"/>
              </w:rPr>
              <w:t>99,24%</w:t>
            </w:r>
          </w:p>
        </w:tc>
      </w:tr>
      <w:tr w:rsidR="002D0C37" w:rsidRPr="00332E82" w:rsidTr="00332E82">
        <w:trPr>
          <w:trHeight w:val="255"/>
        </w:trPr>
        <w:tc>
          <w:tcPr>
            <w:tcW w:w="4248" w:type="dxa"/>
            <w:noWrap/>
            <w:hideMark/>
          </w:tcPr>
          <w:p w:rsidR="002D0C37" w:rsidRPr="00332E82" w:rsidRDefault="002D0C37" w:rsidP="002D0C37">
            <w:pPr>
              <w:rPr>
                <w:b/>
                <w:bCs/>
                <w:sz w:val="20"/>
                <w:szCs w:val="20"/>
              </w:rPr>
            </w:pPr>
            <w:r w:rsidRPr="00332E82">
              <w:rPr>
                <w:b/>
                <w:bCs/>
                <w:sz w:val="20"/>
                <w:szCs w:val="20"/>
              </w:rPr>
              <w:t>71 Prihodi od prodaje neproizvedene dugotrajne imovine</w:t>
            </w:r>
          </w:p>
        </w:tc>
        <w:tc>
          <w:tcPr>
            <w:tcW w:w="1384" w:type="dxa"/>
            <w:noWrap/>
            <w:hideMark/>
          </w:tcPr>
          <w:p w:rsidR="002D0C37" w:rsidRPr="00332E82" w:rsidRDefault="005C4E18" w:rsidP="005C4E18">
            <w:pPr>
              <w:jc w:val="right"/>
              <w:rPr>
                <w:b/>
                <w:bCs/>
                <w:sz w:val="20"/>
                <w:szCs w:val="20"/>
              </w:rPr>
            </w:pPr>
            <w:r>
              <w:rPr>
                <w:b/>
                <w:bCs/>
                <w:sz w:val="20"/>
                <w:szCs w:val="20"/>
              </w:rPr>
              <w:t>0,00</w:t>
            </w:r>
          </w:p>
        </w:tc>
        <w:tc>
          <w:tcPr>
            <w:tcW w:w="1384" w:type="dxa"/>
            <w:noWrap/>
            <w:hideMark/>
          </w:tcPr>
          <w:p w:rsidR="002D0C37" w:rsidRPr="00332E82" w:rsidRDefault="002D0C37" w:rsidP="002D0C37">
            <w:pPr>
              <w:jc w:val="right"/>
              <w:rPr>
                <w:b/>
                <w:bCs/>
                <w:sz w:val="20"/>
                <w:szCs w:val="20"/>
              </w:rPr>
            </w:pPr>
            <w:r w:rsidRPr="00332E82">
              <w:rPr>
                <w:b/>
                <w:bCs/>
                <w:sz w:val="20"/>
                <w:szCs w:val="20"/>
              </w:rPr>
              <w:t>25.500,00</w:t>
            </w:r>
          </w:p>
        </w:tc>
        <w:tc>
          <w:tcPr>
            <w:tcW w:w="1450" w:type="dxa"/>
            <w:noWrap/>
            <w:hideMark/>
          </w:tcPr>
          <w:p w:rsidR="002D0C37" w:rsidRPr="00332E82" w:rsidRDefault="002D0C37" w:rsidP="002D0C37">
            <w:pPr>
              <w:jc w:val="right"/>
              <w:rPr>
                <w:b/>
                <w:bCs/>
                <w:sz w:val="20"/>
                <w:szCs w:val="20"/>
              </w:rPr>
            </w:pPr>
            <w:r w:rsidRPr="00332E82">
              <w:rPr>
                <w:b/>
                <w:bCs/>
                <w:sz w:val="20"/>
                <w:szCs w:val="20"/>
              </w:rPr>
              <w:t>25.500,00</w:t>
            </w:r>
          </w:p>
        </w:tc>
        <w:tc>
          <w:tcPr>
            <w:tcW w:w="1133" w:type="dxa"/>
            <w:noWrap/>
            <w:hideMark/>
          </w:tcPr>
          <w:p w:rsidR="002D0C37" w:rsidRPr="00332E82" w:rsidRDefault="002D0C37" w:rsidP="002D0C37">
            <w:pPr>
              <w:jc w:val="right"/>
              <w:rPr>
                <w:b/>
                <w:bCs/>
                <w:sz w:val="20"/>
                <w:szCs w:val="20"/>
              </w:rPr>
            </w:pPr>
            <w:r w:rsidRPr="00332E82">
              <w:rPr>
                <w:b/>
                <w:bCs/>
                <w:sz w:val="20"/>
                <w:szCs w:val="20"/>
              </w:rPr>
              <w:t>0,00%</w:t>
            </w:r>
          </w:p>
        </w:tc>
        <w:tc>
          <w:tcPr>
            <w:tcW w:w="1134" w:type="dxa"/>
            <w:noWrap/>
            <w:hideMark/>
          </w:tcPr>
          <w:p w:rsidR="002D0C37" w:rsidRPr="00332E82" w:rsidRDefault="002D0C37" w:rsidP="002D0C37">
            <w:pPr>
              <w:jc w:val="right"/>
              <w:rPr>
                <w:b/>
                <w:bCs/>
                <w:sz w:val="20"/>
                <w:szCs w:val="20"/>
              </w:rPr>
            </w:pPr>
            <w:r w:rsidRPr="00332E82">
              <w:rPr>
                <w:b/>
                <w:bCs/>
                <w:sz w:val="20"/>
                <w:szCs w:val="20"/>
              </w:rPr>
              <w:t>100,00%</w:t>
            </w: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lastRenderedPageBreak/>
              <w:t>711 Prihodi od prodaje materijalne imovine - prirodnih bogatstava</w:t>
            </w:r>
          </w:p>
        </w:tc>
        <w:tc>
          <w:tcPr>
            <w:tcW w:w="1384" w:type="dxa"/>
            <w:noWrap/>
            <w:hideMark/>
          </w:tcPr>
          <w:p w:rsidR="002D0C37" w:rsidRPr="00332E82" w:rsidRDefault="005C4E18" w:rsidP="005C4E18">
            <w:pPr>
              <w:jc w:val="right"/>
              <w:rPr>
                <w:sz w:val="20"/>
                <w:szCs w:val="20"/>
              </w:rPr>
            </w:pPr>
            <w:r>
              <w:rPr>
                <w:sz w:val="20"/>
                <w:szCs w:val="20"/>
              </w:rPr>
              <w:t>0,00</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25.500,00</w:t>
            </w:r>
          </w:p>
        </w:tc>
        <w:tc>
          <w:tcPr>
            <w:tcW w:w="1133" w:type="dxa"/>
            <w:noWrap/>
            <w:hideMark/>
          </w:tcPr>
          <w:p w:rsidR="002D0C37" w:rsidRPr="00332E82" w:rsidRDefault="002D0C37" w:rsidP="002D0C37">
            <w:pPr>
              <w:jc w:val="right"/>
              <w:rPr>
                <w:sz w:val="20"/>
                <w:szCs w:val="20"/>
              </w:rPr>
            </w:pPr>
            <w:r w:rsidRPr="00332E82">
              <w:rPr>
                <w:sz w:val="20"/>
                <w:szCs w:val="20"/>
              </w:rPr>
              <w:t>0,00%</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7111 Zemljište</w:t>
            </w:r>
          </w:p>
        </w:tc>
        <w:tc>
          <w:tcPr>
            <w:tcW w:w="1384" w:type="dxa"/>
            <w:noWrap/>
            <w:hideMark/>
          </w:tcPr>
          <w:p w:rsidR="002D0C37" w:rsidRPr="00332E82" w:rsidRDefault="005C4E18" w:rsidP="005C4E18">
            <w:pPr>
              <w:jc w:val="right"/>
              <w:rPr>
                <w:sz w:val="20"/>
                <w:szCs w:val="20"/>
              </w:rPr>
            </w:pPr>
            <w:r>
              <w:rPr>
                <w:sz w:val="20"/>
                <w:szCs w:val="20"/>
              </w:rPr>
              <w:t>0,00</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25.500,00</w:t>
            </w:r>
          </w:p>
        </w:tc>
        <w:tc>
          <w:tcPr>
            <w:tcW w:w="1133" w:type="dxa"/>
            <w:noWrap/>
            <w:hideMark/>
          </w:tcPr>
          <w:p w:rsidR="002D0C37" w:rsidRPr="00332E82" w:rsidRDefault="002D0C37" w:rsidP="002D0C37">
            <w:pPr>
              <w:jc w:val="right"/>
              <w:rPr>
                <w:sz w:val="20"/>
                <w:szCs w:val="20"/>
              </w:rPr>
            </w:pPr>
            <w:r w:rsidRPr="00332E82">
              <w:rPr>
                <w:sz w:val="20"/>
                <w:szCs w:val="20"/>
              </w:rPr>
              <w:t>0,00%</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b/>
                <w:bCs/>
                <w:sz w:val="20"/>
                <w:szCs w:val="20"/>
              </w:rPr>
            </w:pPr>
            <w:r w:rsidRPr="00332E82">
              <w:rPr>
                <w:b/>
                <w:bCs/>
                <w:sz w:val="20"/>
                <w:szCs w:val="20"/>
              </w:rPr>
              <w:t>72 Prihodi od prodaje proizvedene dugotrajne imovine</w:t>
            </w:r>
          </w:p>
        </w:tc>
        <w:tc>
          <w:tcPr>
            <w:tcW w:w="1384" w:type="dxa"/>
            <w:noWrap/>
            <w:hideMark/>
          </w:tcPr>
          <w:p w:rsidR="002D0C37" w:rsidRPr="00332E82" w:rsidRDefault="002D0C37" w:rsidP="002D0C37">
            <w:pPr>
              <w:jc w:val="right"/>
              <w:rPr>
                <w:b/>
                <w:bCs/>
                <w:sz w:val="20"/>
                <w:szCs w:val="20"/>
              </w:rPr>
            </w:pPr>
            <w:r w:rsidRPr="00332E82">
              <w:rPr>
                <w:b/>
                <w:bCs/>
                <w:sz w:val="20"/>
                <w:szCs w:val="20"/>
              </w:rPr>
              <w:t>1.062,60</w:t>
            </w:r>
          </w:p>
        </w:tc>
        <w:tc>
          <w:tcPr>
            <w:tcW w:w="1384" w:type="dxa"/>
            <w:noWrap/>
            <w:hideMark/>
          </w:tcPr>
          <w:p w:rsidR="002D0C37" w:rsidRPr="00332E82" w:rsidRDefault="002D0C37" w:rsidP="002D0C37">
            <w:pPr>
              <w:jc w:val="right"/>
              <w:rPr>
                <w:b/>
                <w:bCs/>
                <w:sz w:val="20"/>
                <w:szCs w:val="20"/>
              </w:rPr>
            </w:pPr>
            <w:r w:rsidRPr="00332E82">
              <w:rPr>
                <w:b/>
                <w:bCs/>
                <w:sz w:val="20"/>
                <w:szCs w:val="20"/>
              </w:rPr>
              <w:t>1.500,00</w:t>
            </w:r>
          </w:p>
        </w:tc>
        <w:tc>
          <w:tcPr>
            <w:tcW w:w="1450" w:type="dxa"/>
            <w:noWrap/>
            <w:hideMark/>
          </w:tcPr>
          <w:p w:rsidR="002D0C37" w:rsidRPr="00332E82" w:rsidRDefault="002D0C37" w:rsidP="002D0C37">
            <w:pPr>
              <w:jc w:val="right"/>
              <w:rPr>
                <w:b/>
                <w:bCs/>
                <w:sz w:val="20"/>
                <w:szCs w:val="20"/>
              </w:rPr>
            </w:pPr>
            <w:r w:rsidRPr="00332E82">
              <w:rPr>
                <w:b/>
                <w:bCs/>
                <w:sz w:val="20"/>
                <w:szCs w:val="20"/>
              </w:rPr>
              <w:t>1.294,76</w:t>
            </w:r>
          </w:p>
        </w:tc>
        <w:tc>
          <w:tcPr>
            <w:tcW w:w="1133" w:type="dxa"/>
            <w:noWrap/>
            <w:hideMark/>
          </w:tcPr>
          <w:p w:rsidR="002D0C37" w:rsidRPr="00332E82" w:rsidRDefault="002D0C37" w:rsidP="002D0C37">
            <w:pPr>
              <w:jc w:val="right"/>
              <w:rPr>
                <w:b/>
                <w:bCs/>
                <w:sz w:val="20"/>
                <w:szCs w:val="20"/>
              </w:rPr>
            </w:pPr>
            <w:r w:rsidRPr="00332E82">
              <w:rPr>
                <w:b/>
                <w:bCs/>
                <w:sz w:val="20"/>
                <w:szCs w:val="20"/>
              </w:rPr>
              <w:t>121,85%</w:t>
            </w:r>
          </w:p>
        </w:tc>
        <w:tc>
          <w:tcPr>
            <w:tcW w:w="1134" w:type="dxa"/>
            <w:noWrap/>
            <w:hideMark/>
          </w:tcPr>
          <w:p w:rsidR="002D0C37" w:rsidRPr="00332E82" w:rsidRDefault="002D0C37" w:rsidP="002D0C37">
            <w:pPr>
              <w:jc w:val="right"/>
              <w:rPr>
                <w:b/>
                <w:bCs/>
                <w:sz w:val="20"/>
                <w:szCs w:val="20"/>
              </w:rPr>
            </w:pPr>
            <w:r w:rsidRPr="00332E82">
              <w:rPr>
                <w:b/>
                <w:bCs/>
                <w:sz w:val="20"/>
                <w:szCs w:val="20"/>
              </w:rPr>
              <w:t>86,32%</w:t>
            </w: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721 Prihodi od prodaje građevinskih objekata</w:t>
            </w:r>
          </w:p>
        </w:tc>
        <w:tc>
          <w:tcPr>
            <w:tcW w:w="1384" w:type="dxa"/>
            <w:noWrap/>
            <w:hideMark/>
          </w:tcPr>
          <w:p w:rsidR="002D0C37" w:rsidRPr="00332E82" w:rsidRDefault="002D0C37" w:rsidP="002D0C37">
            <w:pPr>
              <w:jc w:val="right"/>
              <w:rPr>
                <w:sz w:val="20"/>
                <w:szCs w:val="20"/>
              </w:rPr>
            </w:pPr>
            <w:r w:rsidRPr="00332E82">
              <w:rPr>
                <w:sz w:val="20"/>
                <w:szCs w:val="20"/>
              </w:rPr>
              <w:t>1.062,60</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1.294,76</w:t>
            </w:r>
          </w:p>
        </w:tc>
        <w:tc>
          <w:tcPr>
            <w:tcW w:w="1133" w:type="dxa"/>
            <w:noWrap/>
            <w:hideMark/>
          </w:tcPr>
          <w:p w:rsidR="002D0C37" w:rsidRPr="00332E82" w:rsidRDefault="002D0C37" w:rsidP="002D0C37">
            <w:pPr>
              <w:jc w:val="right"/>
              <w:rPr>
                <w:sz w:val="20"/>
                <w:szCs w:val="20"/>
              </w:rPr>
            </w:pPr>
            <w:r w:rsidRPr="00332E82">
              <w:rPr>
                <w:sz w:val="20"/>
                <w:szCs w:val="20"/>
              </w:rPr>
              <w:t>121,85%</w:t>
            </w:r>
          </w:p>
        </w:tc>
        <w:tc>
          <w:tcPr>
            <w:tcW w:w="1134" w:type="dxa"/>
            <w:noWrap/>
            <w:hideMark/>
          </w:tcPr>
          <w:p w:rsidR="002D0C37" w:rsidRPr="00332E82" w:rsidRDefault="002D0C37" w:rsidP="002D0C37">
            <w:pPr>
              <w:jc w:val="right"/>
              <w:rPr>
                <w:sz w:val="20"/>
                <w:szCs w:val="20"/>
              </w:rPr>
            </w:pPr>
          </w:p>
        </w:tc>
      </w:tr>
      <w:tr w:rsidR="002D0C37" w:rsidRPr="00332E82" w:rsidTr="00332E82">
        <w:trPr>
          <w:trHeight w:val="255"/>
        </w:trPr>
        <w:tc>
          <w:tcPr>
            <w:tcW w:w="4248" w:type="dxa"/>
            <w:noWrap/>
            <w:hideMark/>
          </w:tcPr>
          <w:p w:rsidR="002D0C37" w:rsidRPr="00332E82" w:rsidRDefault="002D0C37" w:rsidP="002D0C37">
            <w:pPr>
              <w:rPr>
                <w:sz w:val="20"/>
                <w:szCs w:val="20"/>
              </w:rPr>
            </w:pPr>
            <w:r w:rsidRPr="00332E82">
              <w:rPr>
                <w:sz w:val="20"/>
                <w:szCs w:val="20"/>
              </w:rPr>
              <w:t>7211 Stambeni objekti</w:t>
            </w:r>
          </w:p>
        </w:tc>
        <w:tc>
          <w:tcPr>
            <w:tcW w:w="1384" w:type="dxa"/>
            <w:noWrap/>
            <w:hideMark/>
          </w:tcPr>
          <w:p w:rsidR="002D0C37" w:rsidRPr="00332E82" w:rsidRDefault="002D0C37" w:rsidP="002D0C37">
            <w:pPr>
              <w:jc w:val="right"/>
              <w:rPr>
                <w:sz w:val="20"/>
                <w:szCs w:val="20"/>
              </w:rPr>
            </w:pPr>
            <w:r w:rsidRPr="00332E82">
              <w:rPr>
                <w:sz w:val="20"/>
                <w:szCs w:val="20"/>
              </w:rPr>
              <w:t>1.062,60</w:t>
            </w:r>
          </w:p>
        </w:tc>
        <w:tc>
          <w:tcPr>
            <w:tcW w:w="1384" w:type="dxa"/>
            <w:noWrap/>
            <w:hideMark/>
          </w:tcPr>
          <w:p w:rsidR="002D0C37" w:rsidRPr="00332E82" w:rsidRDefault="002D0C37" w:rsidP="002D0C37">
            <w:pPr>
              <w:jc w:val="right"/>
              <w:rPr>
                <w:sz w:val="20"/>
                <w:szCs w:val="20"/>
              </w:rPr>
            </w:pPr>
          </w:p>
        </w:tc>
        <w:tc>
          <w:tcPr>
            <w:tcW w:w="1450" w:type="dxa"/>
            <w:noWrap/>
            <w:hideMark/>
          </w:tcPr>
          <w:p w:rsidR="002D0C37" w:rsidRPr="00332E82" w:rsidRDefault="002D0C37" w:rsidP="002D0C37">
            <w:pPr>
              <w:jc w:val="right"/>
              <w:rPr>
                <w:sz w:val="20"/>
                <w:szCs w:val="20"/>
              </w:rPr>
            </w:pPr>
            <w:r w:rsidRPr="00332E82">
              <w:rPr>
                <w:sz w:val="20"/>
                <w:szCs w:val="20"/>
              </w:rPr>
              <w:t>1.294,76</w:t>
            </w:r>
          </w:p>
        </w:tc>
        <w:tc>
          <w:tcPr>
            <w:tcW w:w="1133" w:type="dxa"/>
            <w:noWrap/>
            <w:hideMark/>
          </w:tcPr>
          <w:p w:rsidR="002D0C37" w:rsidRPr="00332E82" w:rsidRDefault="002D0C37" w:rsidP="002D0C37">
            <w:pPr>
              <w:jc w:val="right"/>
              <w:rPr>
                <w:sz w:val="20"/>
                <w:szCs w:val="20"/>
              </w:rPr>
            </w:pPr>
            <w:r w:rsidRPr="00332E82">
              <w:rPr>
                <w:sz w:val="20"/>
                <w:szCs w:val="20"/>
              </w:rPr>
              <w:t>121,85%</w:t>
            </w:r>
          </w:p>
        </w:tc>
        <w:tc>
          <w:tcPr>
            <w:tcW w:w="1134" w:type="dxa"/>
            <w:noWrap/>
            <w:hideMark/>
          </w:tcPr>
          <w:p w:rsidR="002D0C37" w:rsidRPr="00332E82" w:rsidRDefault="002D0C37" w:rsidP="002D0C37">
            <w:pPr>
              <w:jc w:val="right"/>
              <w:rPr>
                <w:sz w:val="20"/>
                <w:szCs w:val="20"/>
              </w:rPr>
            </w:pPr>
          </w:p>
        </w:tc>
      </w:tr>
    </w:tbl>
    <w:p w:rsidR="002F20CA" w:rsidRPr="00332E82" w:rsidRDefault="002F20CA" w:rsidP="00854E0C">
      <w:pPr>
        <w:pStyle w:val="BodyText"/>
        <w:tabs>
          <w:tab w:val="right" w:leader="dot" w:pos="9072"/>
        </w:tabs>
        <w:rPr>
          <w:b/>
          <w:sz w:val="20"/>
          <w:szCs w:val="20"/>
        </w:rPr>
      </w:pPr>
    </w:p>
    <w:p w:rsidR="00854E0C" w:rsidRDefault="00990F20" w:rsidP="00854E0C">
      <w:pPr>
        <w:pStyle w:val="BodyText"/>
        <w:tabs>
          <w:tab w:val="right" w:leader="dot" w:pos="9072"/>
        </w:tabs>
        <w:rPr>
          <w:b/>
        </w:rPr>
      </w:pPr>
      <w:r>
        <w:rPr>
          <w:b/>
        </w:rPr>
        <w:t xml:space="preserve">I.B.) </w:t>
      </w:r>
      <w:r w:rsidR="00854E0C">
        <w:rPr>
          <w:b/>
        </w:rPr>
        <w:t>RASHODI</w:t>
      </w:r>
      <w:r w:rsidR="00D90E94">
        <w:rPr>
          <w:b/>
        </w:rPr>
        <w:t xml:space="preserve"> se sastoje od rashoda poslovanja i rashoda za nabavu nefinancijske imovine</w:t>
      </w:r>
    </w:p>
    <w:p w:rsidR="00E71796" w:rsidRDefault="00E71796" w:rsidP="00E71796">
      <w:pPr>
        <w:rPr>
          <w:b/>
          <w:sz w:val="22"/>
          <w:szCs w:val="22"/>
        </w:rPr>
      </w:pPr>
    </w:p>
    <w:p w:rsidR="003A4715" w:rsidRPr="00CD0791" w:rsidRDefault="003A4715" w:rsidP="003A4715">
      <w:r w:rsidRPr="00CD0791">
        <w:t>U 202</w:t>
      </w:r>
      <w:r w:rsidR="007A4D1B">
        <w:t>5</w:t>
      </w:r>
      <w:r w:rsidRPr="00CD0791">
        <w:t xml:space="preserve">.g. ostvareni su ukupni rashodi </w:t>
      </w:r>
      <w:r w:rsidR="00511FD3">
        <w:t xml:space="preserve">(3+4) </w:t>
      </w:r>
      <w:r w:rsidRPr="00CD0791">
        <w:t xml:space="preserve">Općine i proračunskih korisnika u iznosu od </w:t>
      </w:r>
      <w:r w:rsidR="007F438F" w:rsidRPr="008A6B3B">
        <w:rPr>
          <w:b/>
        </w:rPr>
        <w:t>4.867.139,38</w:t>
      </w:r>
      <w:r w:rsidRPr="008A6B3B">
        <w:rPr>
          <w:b/>
        </w:rPr>
        <w:t xml:space="preserve"> EUR</w:t>
      </w:r>
      <w:r w:rsidRPr="00CD0791">
        <w:t xml:space="preserve"> (Općina </w:t>
      </w:r>
      <w:r w:rsidR="008A6B3B">
        <w:t>4.408.150,91</w:t>
      </w:r>
      <w:r w:rsidRPr="00CD0791">
        <w:t xml:space="preserve"> EUR + </w:t>
      </w:r>
      <w:r w:rsidR="00511FD3">
        <w:t xml:space="preserve">proračunski korisnici </w:t>
      </w:r>
      <w:r w:rsidR="008A6B3B">
        <w:t>458.988,47</w:t>
      </w:r>
      <w:r w:rsidRPr="00CD0791">
        <w:t xml:space="preserve"> EUR), dok su u istom razdoblju 202</w:t>
      </w:r>
      <w:r w:rsidR="007A4D1B">
        <w:t>4</w:t>
      </w:r>
      <w:r w:rsidRPr="00CD0791">
        <w:t xml:space="preserve">.g. isti iznosili </w:t>
      </w:r>
      <w:r w:rsidR="008A6B3B" w:rsidRPr="008A6B3B">
        <w:t>3.605.380,06 EUR</w:t>
      </w:r>
      <w:r w:rsidR="008A6B3B" w:rsidRPr="00974DA9">
        <w:t xml:space="preserve"> (Općina </w:t>
      </w:r>
      <w:r w:rsidR="008A6B3B">
        <w:t>3.376.308,41 eura</w:t>
      </w:r>
      <w:r w:rsidR="008A6B3B" w:rsidRPr="00974DA9">
        <w:t xml:space="preserve"> + proračunski korisnici </w:t>
      </w:r>
      <w:r w:rsidR="008A6B3B">
        <w:t>229.071,65 eura</w:t>
      </w:r>
      <w:r w:rsidR="008A6B3B" w:rsidRPr="00974DA9">
        <w:t>)</w:t>
      </w:r>
      <w:r w:rsidR="007A4D1B">
        <w:t xml:space="preserve">, </w:t>
      </w:r>
      <w:r w:rsidRPr="00CD0791">
        <w:t xml:space="preserve">tj. veći su za </w:t>
      </w:r>
      <w:r w:rsidR="008A6B3B">
        <w:t>35,00</w:t>
      </w:r>
      <w:r w:rsidRPr="00CD0791">
        <w:t>% 202</w:t>
      </w:r>
      <w:r w:rsidR="007C7D22">
        <w:t>5</w:t>
      </w:r>
      <w:r w:rsidRPr="00CD0791">
        <w:t>. u odnosu na 202</w:t>
      </w:r>
      <w:r w:rsidR="007C7D22">
        <w:t>4</w:t>
      </w:r>
      <w:r w:rsidRPr="00CD0791">
        <w:t>. godinu.</w:t>
      </w:r>
    </w:p>
    <w:p w:rsidR="00C91AC8" w:rsidRDefault="00C91AC8" w:rsidP="003A4715"/>
    <w:p w:rsidR="007C7D22" w:rsidRPr="00194692" w:rsidRDefault="007C7D22" w:rsidP="007C7D22">
      <w:pPr>
        <w:rPr>
          <w:b/>
        </w:rPr>
      </w:pPr>
      <w:r w:rsidRPr="00194692">
        <w:rPr>
          <w:b/>
        </w:rPr>
        <w:t xml:space="preserve">Tablica </w:t>
      </w:r>
      <w:r>
        <w:rPr>
          <w:b/>
        </w:rPr>
        <w:t>2</w:t>
      </w:r>
      <w:r w:rsidRPr="00194692">
        <w:rPr>
          <w:b/>
        </w:rPr>
        <w:t>: Kretanje rashoda</w:t>
      </w:r>
      <w:r w:rsidR="00F65E90">
        <w:rPr>
          <w:b/>
        </w:rPr>
        <w:t xml:space="preserve"> u </w:t>
      </w:r>
      <w:r w:rsidRPr="00194692">
        <w:rPr>
          <w:b/>
        </w:rPr>
        <w:t>202</w:t>
      </w:r>
      <w:r w:rsidR="0039742A">
        <w:rPr>
          <w:b/>
        </w:rPr>
        <w:t>4</w:t>
      </w:r>
      <w:r w:rsidRPr="00194692">
        <w:rPr>
          <w:b/>
        </w:rPr>
        <w:t>. i 202</w:t>
      </w:r>
      <w:r w:rsidR="0039742A">
        <w:rPr>
          <w:b/>
        </w:rPr>
        <w:t>5</w:t>
      </w:r>
      <w:r w:rsidRPr="00194692">
        <w:rPr>
          <w:b/>
        </w:rPr>
        <w:t xml:space="preserve">. godini </w:t>
      </w:r>
    </w:p>
    <w:p w:rsidR="00C91AC8" w:rsidRDefault="00C91AC8" w:rsidP="003A4715"/>
    <w:tbl>
      <w:tblPr>
        <w:tblStyle w:val="TableGrid"/>
        <w:tblW w:w="10485" w:type="dxa"/>
        <w:tblLook w:val="04A0" w:firstRow="1" w:lastRow="0" w:firstColumn="1" w:lastColumn="0" w:noHBand="0" w:noVBand="1"/>
      </w:tblPr>
      <w:tblGrid>
        <w:gridCol w:w="4133"/>
        <w:gridCol w:w="1391"/>
        <w:gridCol w:w="1370"/>
        <w:gridCol w:w="1450"/>
        <w:gridCol w:w="1007"/>
        <w:gridCol w:w="1134"/>
      </w:tblGrid>
      <w:tr w:rsidR="007A4D1B" w:rsidRPr="00990421" w:rsidTr="006825EE">
        <w:trPr>
          <w:trHeight w:val="255"/>
        </w:trPr>
        <w:tc>
          <w:tcPr>
            <w:tcW w:w="4133" w:type="dxa"/>
            <w:noWrap/>
            <w:hideMark/>
          </w:tcPr>
          <w:p w:rsidR="007A4D1B" w:rsidRPr="00990421" w:rsidRDefault="007A4D1B" w:rsidP="006825EE">
            <w:pPr>
              <w:jc w:val="center"/>
              <w:rPr>
                <w:b/>
                <w:bCs/>
                <w:sz w:val="20"/>
                <w:szCs w:val="20"/>
              </w:rPr>
            </w:pPr>
            <w:r w:rsidRPr="00990421">
              <w:rPr>
                <w:b/>
                <w:bCs/>
                <w:sz w:val="20"/>
                <w:szCs w:val="20"/>
              </w:rPr>
              <w:t>Račun / opis</w:t>
            </w:r>
          </w:p>
        </w:tc>
        <w:tc>
          <w:tcPr>
            <w:tcW w:w="1391" w:type="dxa"/>
            <w:noWrap/>
            <w:hideMark/>
          </w:tcPr>
          <w:p w:rsidR="007A4D1B" w:rsidRPr="00990421" w:rsidRDefault="007A4D1B" w:rsidP="006825EE">
            <w:pPr>
              <w:jc w:val="center"/>
              <w:rPr>
                <w:b/>
                <w:bCs/>
                <w:sz w:val="20"/>
                <w:szCs w:val="20"/>
              </w:rPr>
            </w:pPr>
            <w:r w:rsidRPr="00990421">
              <w:rPr>
                <w:b/>
                <w:bCs/>
                <w:sz w:val="20"/>
                <w:szCs w:val="20"/>
              </w:rPr>
              <w:t>Izvršenje</w:t>
            </w:r>
            <w:r>
              <w:rPr>
                <w:b/>
                <w:bCs/>
                <w:sz w:val="20"/>
                <w:szCs w:val="20"/>
              </w:rPr>
              <w:t xml:space="preserve">    </w:t>
            </w:r>
            <w:r w:rsidRPr="00990421">
              <w:rPr>
                <w:b/>
                <w:bCs/>
                <w:sz w:val="20"/>
                <w:szCs w:val="20"/>
              </w:rPr>
              <w:t>2024.</w:t>
            </w:r>
          </w:p>
        </w:tc>
        <w:tc>
          <w:tcPr>
            <w:tcW w:w="1370" w:type="dxa"/>
            <w:noWrap/>
            <w:hideMark/>
          </w:tcPr>
          <w:p w:rsidR="007A4D1B" w:rsidRPr="00990421" w:rsidRDefault="007A4D1B" w:rsidP="006825EE">
            <w:pPr>
              <w:jc w:val="center"/>
              <w:rPr>
                <w:b/>
                <w:bCs/>
                <w:sz w:val="20"/>
                <w:szCs w:val="20"/>
              </w:rPr>
            </w:pPr>
            <w:r w:rsidRPr="00990421">
              <w:rPr>
                <w:b/>
                <w:bCs/>
                <w:sz w:val="20"/>
                <w:szCs w:val="20"/>
              </w:rPr>
              <w:t>Izvorni plan 2025.</w:t>
            </w:r>
          </w:p>
        </w:tc>
        <w:tc>
          <w:tcPr>
            <w:tcW w:w="1450" w:type="dxa"/>
            <w:noWrap/>
            <w:hideMark/>
          </w:tcPr>
          <w:p w:rsidR="007A4D1B" w:rsidRPr="00990421" w:rsidRDefault="007A4D1B" w:rsidP="006825EE">
            <w:pPr>
              <w:jc w:val="center"/>
              <w:rPr>
                <w:b/>
                <w:bCs/>
                <w:sz w:val="20"/>
                <w:szCs w:val="20"/>
              </w:rPr>
            </w:pPr>
            <w:r w:rsidRPr="00990421">
              <w:rPr>
                <w:b/>
                <w:bCs/>
                <w:sz w:val="20"/>
                <w:szCs w:val="20"/>
              </w:rPr>
              <w:t xml:space="preserve">Izvršenje </w:t>
            </w:r>
            <w:r>
              <w:rPr>
                <w:b/>
                <w:bCs/>
                <w:sz w:val="20"/>
                <w:szCs w:val="20"/>
              </w:rPr>
              <w:t xml:space="preserve">     </w:t>
            </w:r>
            <w:r w:rsidRPr="00990421">
              <w:rPr>
                <w:b/>
                <w:bCs/>
                <w:sz w:val="20"/>
                <w:szCs w:val="20"/>
              </w:rPr>
              <w:t>2025.</w:t>
            </w:r>
          </w:p>
        </w:tc>
        <w:tc>
          <w:tcPr>
            <w:tcW w:w="1007" w:type="dxa"/>
            <w:noWrap/>
            <w:hideMark/>
          </w:tcPr>
          <w:p w:rsidR="007A4D1B" w:rsidRPr="00990421" w:rsidRDefault="007A4D1B" w:rsidP="006825EE">
            <w:pPr>
              <w:jc w:val="center"/>
              <w:rPr>
                <w:b/>
                <w:bCs/>
                <w:sz w:val="20"/>
                <w:szCs w:val="20"/>
              </w:rPr>
            </w:pPr>
            <w:r w:rsidRPr="00990421">
              <w:rPr>
                <w:b/>
                <w:bCs/>
                <w:sz w:val="20"/>
                <w:szCs w:val="20"/>
              </w:rPr>
              <w:t>Indeks  3/1</w:t>
            </w:r>
          </w:p>
        </w:tc>
        <w:tc>
          <w:tcPr>
            <w:tcW w:w="1134" w:type="dxa"/>
            <w:noWrap/>
            <w:hideMark/>
          </w:tcPr>
          <w:p w:rsidR="007A4D1B" w:rsidRPr="00990421" w:rsidRDefault="007A4D1B" w:rsidP="006825EE">
            <w:pPr>
              <w:jc w:val="center"/>
              <w:rPr>
                <w:b/>
                <w:bCs/>
                <w:sz w:val="20"/>
                <w:szCs w:val="20"/>
              </w:rPr>
            </w:pPr>
            <w:r w:rsidRPr="00990421">
              <w:rPr>
                <w:b/>
                <w:bCs/>
                <w:sz w:val="20"/>
                <w:szCs w:val="20"/>
              </w:rPr>
              <w:t>Indeks  3/2</w:t>
            </w:r>
          </w:p>
        </w:tc>
      </w:tr>
      <w:tr w:rsidR="007A4D1B" w:rsidRPr="00990421" w:rsidTr="006825EE">
        <w:trPr>
          <w:trHeight w:val="255"/>
        </w:trPr>
        <w:tc>
          <w:tcPr>
            <w:tcW w:w="4133" w:type="dxa"/>
            <w:noWrap/>
            <w:hideMark/>
          </w:tcPr>
          <w:p w:rsidR="007A4D1B" w:rsidRPr="00990421" w:rsidRDefault="007A4D1B" w:rsidP="006825EE">
            <w:pPr>
              <w:rPr>
                <w:b/>
                <w:bCs/>
                <w:sz w:val="20"/>
                <w:szCs w:val="20"/>
              </w:rPr>
            </w:pPr>
          </w:p>
        </w:tc>
        <w:tc>
          <w:tcPr>
            <w:tcW w:w="1391" w:type="dxa"/>
            <w:noWrap/>
            <w:hideMark/>
          </w:tcPr>
          <w:p w:rsidR="007A4D1B" w:rsidRPr="00990421" w:rsidRDefault="007A4D1B" w:rsidP="006825EE">
            <w:pPr>
              <w:jc w:val="center"/>
              <w:rPr>
                <w:b/>
                <w:bCs/>
                <w:sz w:val="20"/>
                <w:szCs w:val="20"/>
              </w:rPr>
            </w:pPr>
            <w:r w:rsidRPr="00990421">
              <w:rPr>
                <w:b/>
                <w:bCs/>
                <w:sz w:val="20"/>
                <w:szCs w:val="20"/>
              </w:rPr>
              <w:t>1</w:t>
            </w:r>
            <w:r w:rsidR="00332E82">
              <w:rPr>
                <w:b/>
                <w:bCs/>
                <w:sz w:val="20"/>
                <w:szCs w:val="20"/>
              </w:rPr>
              <w:t>.</w:t>
            </w:r>
          </w:p>
        </w:tc>
        <w:tc>
          <w:tcPr>
            <w:tcW w:w="1370" w:type="dxa"/>
            <w:noWrap/>
            <w:hideMark/>
          </w:tcPr>
          <w:p w:rsidR="007A4D1B" w:rsidRPr="00990421" w:rsidRDefault="007A4D1B" w:rsidP="006825EE">
            <w:pPr>
              <w:jc w:val="center"/>
              <w:rPr>
                <w:b/>
                <w:bCs/>
                <w:sz w:val="20"/>
                <w:szCs w:val="20"/>
              </w:rPr>
            </w:pPr>
            <w:r w:rsidRPr="00990421">
              <w:rPr>
                <w:b/>
                <w:bCs/>
                <w:sz w:val="20"/>
                <w:szCs w:val="20"/>
              </w:rPr>
              <w:t>2</w:t>
            </w:r>
            <w:r w:rsidR="00332E82">
              <w:rPr>
                <w:b/>
                <w:bCs/>
                <w:sz w:val="20"/>
                <w:szCs w:val="20"/>
              </w:rPr>
              <w:t>.</w:t>
            </w:r>
          </w:p>
        </w:tc>
        <w:tc>
          <w:tcPr>
            <w:tcW w:w="1450" w:type="dxa"/>
            <w:noWrap/>
            <w:hideMark/>
          </w:tcPr>
          <w:p w:rsidR="007A4D1B" w:rsidRPr="00990421" w:rsidRDefault="007A4D1B" w:rsidP="006825EE">
            <w:pPr>
              <w:jc w:val="center"/>
              <w:rPr>
                <w:b/>
                <w:bCs/>
                <w:sz w:val="20"/>
                <w:szCs w:val="20"/>
              </w:rPr>
            </w:pPr>
            <w:r w:rsidRPr="00990421">
              <w:rPr>
                <w:b/>
                <w:bCs/>
                <w:sz w:val="20"/>
                <w:szCs w:val="20"/>
              </w:rPr>
              <w:t>3</w:t>
            </w:r>
            <w:r w:rsidR="00332E82">
              <w:rPr>
                <w:b/>
                <w:bCs/>
                <w:sz w:val="20"/>
                <w:szCs w:val="20"/>
              </w:rPr>
              <w:t>.</w:t>
            </w:r>
          </w:p>
        </w:tc>
        <w:tc>
          <w:tcPr>
            <w:tcW w:w="1007" w:type="dxa"/>
            <w:noWrap/>
            <w:hideMark/>
          </w:tcPr>
          <w:p w:rsidR="007A4D1B" w:rsidRPr="00990421" w:rsidRDefault="007A4D1B" w:rsidP="006825EE">
            <w:pPr>
              <w:jc w:val="center"/>
              <w:rPr>
                <w:b/>
                <w:bCs/>
                <w:sz w:val="20"/>
                <w:szCs w:val="20"/>
              </w:rPr>
            </w:pPr>
            <w:r w:rsidRPr="00990421">
              <w:rPr>
                <w:b/>
                <w:bCs/>
                <w:sz w:val="20"/>
                <w:szCs w:val="20"/>
              </w:rPr>
              <w:t>4</w:t>
            </w:r>
            <w:r w:rsidR="00332E82">
              <w:rPr>
                <w:b/>
                <w:bCs/>
                <w:sz w:val="20"/>
                <w:szCs w:val="20"/>
              </w:rPr>
              <w:t>.</w:t>
            </w:r>
          </w:p>
        </w:tc>
        <w:tc>
          <w:tcPr>
            <w:tcW w:w="1134" w:type="dxa"/>
            <w:noWrap/>
            <w:hideMark/>
          </w:tcPr>
          <w:p w:rsidR="007A4D1B" w:rsidRPr="00990421" w:rsidRDefault="007A4D1B" w:rsidP="006825EE">
            <w:pPr>
              <w:jc w:val="center"/>
              <w:rPr>
                <w:b/>
                <w:bCs/>
                <w:sz w:val="20"/>
                <w:szCs w:val="20"/>
              </w:rPr>
            </w:pPr>
            <w:r w:rsidRPr="00990421">
              <w:rPr>
                <w:b/>
                <w:bCs/>
                <w:sz w:val="20"/>
                <w:szCs w:val="20"/>
              </w:rPr>
              <w:t>5</w:t>
            </w:r>
            <w:r w:rsidR="00332E82">
              <w:rPr>
                <w:b/>
                <w:bCs/>
                <w:sz w:val="20"/>
                <w:szCs w:val="20"/>
              </w:rPr>
              <w:t>.</w:t>
            </w:r>
          </w:p>
        </w:tc>
      </w:tr>
      <w:tr w:rsidR="007A4D1B" w:rsidRPr="00990421" w:rsidTr="007A4D1B">
        <w:trPr>
          <w:trHeight w:val="255"/>
        </w:trPr>
        <w:tc>
          <w:tcPr>
            <w:tcW w:w="4133" w:type="dxa"/>
            <w:shd w:val="clear" w:color="auto" w:fill="DDD9C3" w:themeFill="background2" w:themeFillShade="E6"/>
            <w:noWrap/>
            <w:hideMark/>
          </w:tcPr>
          <w:p w:rsidR="007A4D1B" w:rsidRPr="00990421" w:rsidRDefault="007A4D1B" w:rsidP="006825EE">
            <w:pPr>
              <w:rPr>
                <w:b/>
                <w:bCs/>
                <w:sz w:val="20"/>
                <w:szCs w:val="20"/>
              </w:rPr>
            </w:pPr>
            <w:r w:rsidRPr="00990421">
              <w:rPr>
                <w:b/>
                <w:bCs/>
                <w:sz w:val="20"/>
                <w:szCs w:val="20"/>
              </w:rPr>
              <w:t xml:space="preserve">UKUPNI </w:t>
            </w:r>
            <w:r>
              <w:rPr>
                <w:b/>
                <w:bCs/>
                <w:sz w:val="20"/>
                <w:szCs w:val="20"/>
              </w:rPr>
              <w:t>RASHODI</w:t>
            </w:r>
          </w:p>
        </w:tc>
        <w:tc>
          <w:tcPr>
            <w:tcW w:w="1391" w:type="dxa"/>
            <w:shd w:val="clear" w:color="auto" w:fill="DDD9C3" w:themeFill="background2" w:themeFillShade="E6"/>
            <w:noWrap/>
            <w:hideMark/>
          </w:tcPr>
          <w:p w:rsidR="007A4D1B" w:rsidRPr="00990421" w:rsidRDefault="002F20CA" w:rsidP="006825EE">
            <w:pPr>
              <w:jc w:val="right"/>
              <w:rPr>
                <w:b/>
                <w:bCs/>
                <w:sz w:val="20"/>
                <w:szCs w:val="20"/>
              </w:rPr>
            </w:pPr>
            <w:r>
              <w:rPr>
                <w:b/>
                <w:bCs/>
                <w:sz w:val="20"/>
                <w:szCs w:val="20"/>
              </w:rPr>
              <w:t>3.605.380,06</w:t>
            </w:r>
          </w:p>
        </w:tc>
        <w:tc>
          <w:tcPr>
            <w:tcW w:w="1370" w:type="dxa"/>
            <w:shd w:val="clear" w:color="auto" w:fill="DDD9C3" w:themeFill="background2" w:themeFillShade="E6"/>
            <w:noWrap/>
            <w:hideMark/>
          </w:tcPr>
          <w:p w:rsidR="007A4D1B" w:rsidRPr="00990421" w:rsidRDefault="002F20CA" w:rsidP="006825EE">
            <w:pPr>
              <w:jc w:val="right"/>
              <w:rPr>
                <w:b/>
                <w:bCs/>
                <w:sz w:val="20"/>
                <w:szCs w:val="20"/>
              </w:rPr>
            </w:pPr>
            <w:r>
              <w:rPr>
                <w:b/>
                <w:bCs/>
                <w:sz w:val="20"/>
                <w:szCs w:val="20"/>
              </w:rPr>
              <w:t>5.247.121</w:t>
            </w:r>
            <w:r w:rsidR="007A4D1B">
              <w:rPr>
                <w:b/>
                <w:bCs/>
                <w:sz w:val="20"/>
                <w:szCs w:val="20"/>
              </w:rPr>
              <w:t>,00</w:t>
            </w:r>
          </w:p>
        </w:tc>
        <w:tc>
          <w:tcPr>
            <w:tcW w:w="1450" w:type="dxa"/>
            <w:shd w:val="clear" w:color="auto" w:fill="DDD9C3" w:themeFill="background2" w:themeFillShade="E6"/>
            <w:noWrap/>
            <w:hideMark/>
          </w:tcPr>
          <w:p w:rsidR="007A4D1B" w:rsidRPr="00990421" w:rsidRDefault="00086D6B" w:rsidP="006825EE">
            <w:pPr>
              <w:jc w:val="right"/>
              <w:rPr>
                <w:b/>
                <w:bCs/>
                <w:sz w:val="20"/>
                <w:szCs w:val="20"/>
              </w:rPr>
            </w:pPr>
            <w:r>
              <w:rPr>
                <w:b/>
                <w:bCs/>
                <w:sz w:val="20"/>
                <w:szCs w:val="20"/>
              </w:rPr>
              <w:t>4.867.139,38</w:t>
            </w:r>
          </w:p>
        </w:tc>
        <w:tc>
          <w:tcPr>
            <w:tcW w:w="1007" w:type="dxa"/>
            <w:shd w:val="clear" w:color="auto" w:fill="DDD9C3" w:themeFill="background2" w:themeFillShade="E6"/>
            <w:noWrap/>
            <w:hideMark/>
          </w:tcPr>
          <w:p w:rsidR="007A4D1B" w:rsidRPr="00990421" w:rsidRDefault="007A4D1B" w:rsidP="006825EE">
            <w:pPr>
              <w:rPr>
                <w:b/>
                <w:bCs/>
                <w:sz w:val="20"/>
                <w:szCs w:val="20"/>
              </w:rPr>
            </w:pPr>
            <w:r>
              <w:rPr>
                <w:b/>
                <w:bCs/>
                <w:sz w:val="20"/>
                <w:szCs w:val="20"/>
              </w:rPr>
              <w:t>1</w:t>
            </w:r>
            <w:r w:rsidR="00086D6B">
              <w:rPr>
                <w:b/>
                <w:bCs/>
                <w:sz w:val="20"/>
                <w:szCs w:val="20"/>
              </w:rPr>
              <w:t>35,00</w:t>
            </w:r>
            <w:r w:rsidRPr="00990421">
              <w:rPr>
                <w:b/>
                <w:bCs/>
                <w:sz w:val="20"/>
                <w:szCs w:val="20"/>
              </w:rPr>
              <w:t>%</w:t>
            </w:r>
          </w:p>
        </w:tc>
        <w:tc>
          <w:tcPr>
            <w:tcW w:w="1134" w:type="dxa"/>
            <w:shd w:val="clear" w:color="auto" w:fill="DDD9C3" w:themeFill="background2" w:themeFillShade="E6"/>
            <w:noWrap/>
            <w:hideMark/>
          </w:tcPr>
          <w:p w:rsidR="007A4D1B" w:rsidRPr="00990421" w:rsidRDefault="00086D6B" w:rsidP="006825EE">
            <w:pPr>
              <w:rPr>
                <w:b/>
                <w:bCs/>
                <w:sz w:val="20"/>
                <w:szCs w:val="20"/>
              </w:rPr>
            </w:pPr>
            <w:r>
              <w:rPr>
                <w:b/>
                <w:bCs/>
                <w:sz w:val="20"/>
                <w:szCs w:val="20"/>
              </w:rPr>
              <w:t>92,76</w:t>
            </w:r>
            <w:r w:rsidR="007A4D1B" w:rsidRPr="00990421">
              <w:rPr>
                <w:b/>
                <w:bCs/>
                <w:sz w:val="20"/>
                <w:szCs w:val="20"/>
              </w:rPr>
              <w:t>%</w:t>
            </w:r>
          </w:p>
        </w:tc>
      </w:tr>
      <w:tr w:rsidR="007A4D1B" w:rsidRPr="00CC08A5" w:rsidTr="006825EE">
        <w:trPr>
          <w:trHeight w:val="255"/>
        </w:trPr>
        <w:tc>
          <w:tcPr>
            <w:tcW w:w="4133" w:type="dxa"/>
            <w:noWrap/>
            <w:hideMark/>
          </w:tcPr>
          <w:p w:rsidR="007A4D1B" w:rsidRPr="00CC08A5" w:rsidRDefault="007A4D1B" w:rsidP="006825EE">
            <w:pPr>
              <w:rPr>
                <w:bCs/>
                <w:sz w:val="20"/>
                <w:szCs w:val="20"/>
              </w:rPr>
            </w:pPr>
            <w:r w:rsidRPr="00CC08A5">
              <w:rPr>
                <w:bCs/>
                <w:sz w:val="20"/>
                <w:szCs w:val="20"/>
              </w:rPr>
              <w:t>3 Rashodi poslovanja</w:t>
            </w:r>
          </w:p>
        </w:tc>
        <w:tc>
          <w:tcPr>
            <w:tcW w:w="1391" w:type="dxa"/>
            <w:noWrap/>
            <w:hideMark/>
          </w:tcPr>
          <w:p w:rsidR="007A4D1B" w:rsidRPr="00CC08A5" w:rsidRDefault="002F20CA" w:rsidP="006825EE">
            <w:pPr>
              <w:jc w:val="right"/>
              <w:rPr>
                <w:bCs/>
                <w:sz w:val="20"/>
                <w:szCs w:val="20"/>
              </w:rPr>
            </w:pPr>
            <w:r>
              <w:rPr>
                <w:bCs/>
                <w:sz w:val="20"/>
                <w:szCs w:val="20"/>
              </w:rPr>
              <w:t>2.368.545,60</w:t>
            </w:r>
          </w:p>
        </w:tc>
        <w:tc>
          <w:tcPr>
            <w:tcW w:w="1370" w:type="dxa"/>
            <w:noWrap/>
            <w:hideMark/>
          </w:tcPr>
          <w:p w:rsidR="007A4D1B" w:rsidRPr="00CC08A5" w:rsidRDefault="002F20CA" w:rsidP="006825EE">
            <w:pPr>
              <w:jc w:val="right"/>
              <w:rPr>
                <w:bCs/>
                <w:sz w:val="20"/>
                <w:szCs w:val="20"/>
              </w:rPr>
            </w:pPr>
            <w:r>
              <w:rPr>
                <w:bCs/>
                <w:sz w:val="20"/>
                <w:szCs w:val="20"/>
              </w:rPr>
              <w:t>3.401.163,00</w:t>
            </w:r>
          </w:p>
        </w:tc>
        <w:tc>
          <w:tcPr>
            <w:tcW w:w="1450" w:type="dxa"/>
            <w:noWrap/>
            <w:hideMark/>
          </w:tcPr>
          <w:p w:rsidR="007A4D1B" w:rsidRPr="00CC08A5" w:rsidRDefault="002F20CA" w:rsidP="006825EE">
            <w:pPr>
              <w:jc w:val="right"/>
              <w:rPr>
                <w:bCs/>
                <w:sz w:val="20"/>
                <w:szCs w:val="20"/>
              </w:rPr>
            </w:pPr>
            <w:r>
              <w:rPr>
                <w:bCs/>
                <w:sz w:val="20"/>
                <w:szCs w:val="20"/>
              </w:rPr>
              <w:t>3.167.559,08</w:t>
            </w:r>
          </w:p>
        </w:tc>
        <w:tc>
          <w:tcPr>
            <w:tcW w:w="1007" w:type="dxa"/>
            <w:noWrap/>
            <w:hideMark/>
          </w:tcPr>
          <w:p w:rsidR="007A4D1B" w:rsidRPr="00CC08A5" w:rsidRDefault="002F20CA" w:rsidP="006825EE">
            <w:pPr>
              <w:rPr>
                <w:bCs/>
                <w:sz w:val="20"/>
                <w:szCs w:val="20"/>
              </w:rPr>
            </w:pPr>
            <w:r>
              <w:rPr>
                <w:bCs/>
                <w:sz w:val="20"/>
                <w:szCs w:val="20"/>
              </w:rPr>
              <w:t>133,73</w:t>
            </w:r>
            <w:r w:rsidR="007A4D1B" w:rsidRPr="00CC08A5">
              <w:rPr>
                <w:bCs/>
                <w:sz w:val="20"/>
                <w:szCs w:val="20"/>
              </w:rPr>
              <w:t>%</w:t>
            </w:r>
          </w:p>
        </w:tc>
        <w:tc>
          <w:tcPr>
            <w:tcW w:w="1134" w:type="dxa"/>
            <w:noWrap/>
            <w:hideMark/>
          </w:tcPr>
          <w:p w:rsidR="007A4D1B" w:rsidRPr="00CC08A5" w:rsidRDefault="002F20CA" w:rsidP="006825EE">
            <w:pPr>
              <w:rPr>
                <w:bCs/>
                <w:sz w:val="20"/>
                <w:szCs w:val="20"/>
              </w:rPr>
            </w:pPr>
            <w:r>
              <w:rPr>
                <w:bCs/>
                <w:sz w:val="20"/>
                <w:szCs w:val="20"/>
              </w:rPr>
              <w:t>93,13</w:t>
            </w:r>
            <w:r w:rsidR="007A4D1B" w:rsidRPr="00CC08A5">
              <w:rPr>
                <w:bCs/>
                <w:sz w:val="20"/>
                <w:szCs w:val="20"/>
              </w:rPr>
              <w:t>%</w:t>
            </w:r>
          </w:p>
        </w:tc>
      </w:tr>
      <w:tr w:rsidR="007A4D1B" w:rsidRPr="00990421" w:rsidTr="006825EE">
        <w:trPr>
          <w:trHeight w:val="255"/>
        </w:trPr>
        <w:tc>
          <w:tcPr>
            <w:tcW w:w="4133" w:type="dxa"/>
            <w:noWrap/>
            <w:hideMark/>
          </w:tcPr>
          <w:p w:rsidR="007A4D1B" w:rsidRPr="00990421" w:rsidRDefault="007A4D1B" w:rsidP="006825EE">
            <w:pPr>
              <w:rPr>
                <w:bCs/>
                <w:sz w:val="20"/>
                <w:szCs w:val="20"/>
              </w:rPr>
            </w:pPr>
            <w:r>
              <w:rPr>
                <w:bCs/>
                <w:sz w:val="20"/>
                <w:szCs w:val="20"/>
              </w:rPr>
              <w:t>4 Rashodi za nabavu nefinancijske imovine</w:t>
            </w:r>
          </w:p>
        </w:tc>
        <w:tc>
          <w:tcPr>
            <w:tcW w:w="1391" w:type="dxa"/>
            <w:noWrap/>
            <w:hideMark/>
          </w:tcPr>
          <w:p w:rsidR="007A4D1B" w:rsidRPr="00990421" w:rsidRDefault="002F20CA" w:rsidP="006825EE">
            <w:pPr>
              <w:jc w:val="right"/>
              <w:rPr>
                <w:bCs/>
                <w:sz w:val="20"/>
                <w:szCs w:val="20"/>
              </w:rPr>
            </w:pPr>
            <w:r>
              <w:rPr>
                <w:bCs/>
                <w:sz w:val="20"/>
                <w:szCs w:val="20"/>
              </w:rPr>
              <w:t>1.236.834,46</w:t>
            </w:r>
          </w:p>
        </w:tc>
        <w:tc>
          <w:tcPr>
            <w:tcW w:w="1370" w:type="dxa"/>
            <w:noWrap/>
            <w:hideMark/>
          </w:tcPr>
          <w:p w:rsidR="007A4D1B" w:rsidRPr="00990421" w:rsidRDefault="002F20CA" w:rsidP="006825EE">
            <w:pPr>
              <w:jc w:val="right"/>
              <w:rPr>
                <w:bCs/>
                <w:sz w:val="20"/>
                <w:szCs w:val="20"/>
              </w:rPr>
            </w:pPr>
            <w:r>
              <w:rPr>
                <w:bCs/>
                <w:sz w:val="20"/>
                <w:szCs w:val="20"/>
              </w:rPr>
              <w:t>1.845.958,00</w:t>
            </w:r>
          </w:p>
        </w:tc>
        <w:tc>
          <w:tcPr>
            <w:tcW w:w="1450" w:type="dxa"/>
            <w:noWrap/>
            <w:hideMark/>
          </w:tcPr>
          <w:p w:rsidR="007A4D1B" w:rsidRPr="00990421" w:rsidRDefault="00086D6B" w:rsidP="006825EE">
            <w:pPr>
              <w:jc w:val="right"/>
              <w:rPr>
                <w:bCs/>
                <w:sz w:val="20"/>
                <w:szCs w:val="20"/>
              </w:rPr>
            </w:pPr>
            <w:r>
              <w:rPr>
                <w:bCs/>
                <w:sz w:val="20"/>
                <w:szCs w:val="20"/>
              </w:rPr>
              <w:t>1.699.580,30</w:t>
            </w:r>
          </w:p>
        </w:tc>
        <w:tc>
          <w:tcPr>
            <w:tcW w:w="1007" w:type="dxa"/>
            <w:noWrap/>
            <w:hideMark/>
          </w:tcPr>
          <w:p w:rsidR="007A4D1B" w:rsidRPr="00990421" w:rsidRDefault="00086D6B" w:rsidP="006825EE">
            <w:pPr>
              <w:rPr>
                <w:bCs/>
                <w:sz w:val="20"/>
                <w:szCs w:val="20"/>
              </w:rPr>
            </w:pPr>
            <w:r>
              <w:rPr>
                <w:bCs/>
                <w:sz w:val="20"/>
                <w:szCs w:val="20"/>
              </w:rPr>
              <w:t>137,41</w:t>
            </w:r>
            <w:r w:rsidR="007A4D1B" w:rsidRPr="00990421">
              <w:rPr>
                <w:bCs/>
                <w:sz w:val="20"/>
                <w:szCs w:val="20"/>
              </w:rPr>
              <w:t>%</w:t>
            </w:r>
          </w:p>
        </w:tc>
        <w:tc>
          <w:tcPr>
            <w:tcW w:w="1134" w:type="dxa"/>
            <w:noWrap/>
            <w:hideMark/>
          </w:tcPr>
          <w:p w:rsidR="007A4D1B" w:rsidRPr="00990421" w:rsidRDefault="00086D6B" w:rsidP="006825EE">
            <w:pPr>
              <w:rPr>
                <w:bCs/>
                <w:sz w:val="20"/>
                <w:szCs w:val="20"/>
              </w:rPr>
            </w:pPr>
            <w:r>
              <w:rPr>
                <w:bCs/>
                <w:sz w:val="20"/>
                <w:szCs w:val="20"/>
              </w:rPr>
              <w:t>92,07</w:t>
            </w:r>
            <w:r w:rsidR="007A4D1B" w:rsidRPr="00990421">
              <w:rPr>
                <w:bCs/>
                <w:sz w:val="20"/>
                <w:szCs w:val="20"/>
              </w:rPr>
              <w:t>%</w:t>
            </w:r>
          </w:p>
        </w:tc>
      </w:tr>
    </w:tbl>
    <w:p w:rsidR="000D17E2" w:rsidRDefault="000D17E2" w:rsidP="001F34DB">
      <w:pPr>
        <w:rPr>
          <w:b/>
        </w:rPr>
      </w:pPr>
    </w:p>
    <w:p w:rsidR="007D4CC3" w:rsidRDefault="00C16C8A" w:rsidP="001F34DB">
      <w:r>
        <w:rPr>
          <w:b/>
        </w:rPr>
        <w:t xml:space="preserve">I.B.1. </w:t>
      </w:r>
      <w:r w:rsidR="00E71796" w:rsidRPr="003714A6">
        <w:rPr>
          <w:b/>
        </w:rPr>
        <w:t>R</w:t>
      </w:r>
      <w:r w:rsidR="00FA1A11">
        <w:rPr>
          <w:b/>
        </w:rPr>
        <w:t>ASHODI</w:t>
      </w:r>
      <w:r w:rsidR="00E71796" w:rsidRPr="003714A6">
        <w:rPr>
          <w:b/>
        </w:rPr>
        <w:t xml:space="preserve"> </w:t>
      </w:r>
      <w:r w:rsidR="00E71796" w:rsidRPr="00C16C8A">
        <w:rPr>
          <w:b/>
        </w:rPr>
        <w:t>poslovanja (razred 3)</w:t>
      </w:r>
      <w:r w:rsidR="00E71796" w:rsidRPr="003714A6">
        <w:t xml:space="preserve"> </w:t>
      </w:r>
    </w:p>
    <w:p w:rsidR="006E4D80" w:rsidRDefault="006E4D80" w:rsidP="007D4CC3"/>
    <w:p w:rsidR="007D4CC3" w:rsidRPr="00194692" w:rsidRDefault="007D4CC3" w:rsidP="007D4CC3">
      <w:r w:rsidRPr="00194692">
        <w:t>Rashodi poslovanja u 202</w:t>
      </w:r>
      <w:r>
        <w:t>5</w:t>
      </w:r>
      <w:r w:rsidRPr="00194692">
        <w:t>. godin</w:t>
      </w:r>
      <w:r w:rsidR="009A027A">
        <w:t>i</w:t>
      </w:r>
      <w:r w:rsidRPr="00194692">
        <w:t xml:space="preserve"> izvršeni su u iznosu od </w:t>
      </w:r>
      <w:r w:rsidR="007F438F">
        <w:t>3.167.559,08</w:t>
      </w:r>
      <w:r w:rsidRPr="00194692">
        <w:t xml:space="preserve"> eura, odnosno </w:t>
      </w:r>
      <w:r w:rsidR="007F438F">
        <w:t>93,13</w:t>
      </w:r>
      <w:r w:rsidRPr="00194692">
        <w:t xml:space="preserve">% planiranih sredstava te su u odnosu na isto razdoblje prethodne godine povećani za </w:t>
      </w:r>
      <w:r w:rsidR="007F438F">
        <w:t>33,73</w:t>
      </w:r>
      <w:r w:rsidRPr="00194692">
        <w:t xml:space="preserve">%. </w:t>
      </w:r>
    </w:p>
    <w:p w:rsidR="00332E82" w:rsidRDefault="00332E82" w:rsidP="001F34DB"/>
    <w:p w:rsidR="00465BD3" w:rsidRPr="00194692" w:rsidRDefault="00465BD3" w:rsidP="00465BD3">
      <w:pPr>
        <w:rPr>
          <w:b/>
        </w:rPr>
      </w:pPr>
      <w:r w:rsidRPr="00194692">
        <w:rPr>
          <w:b/>
        </w:rPr>
        <w:t xml:space="preserve">Tablica </w:t>
      </w:r>
      <w:r>
        <w:rPr>
          <w:b/>
        </w:rPr>
        <w:t>3</w:t>
      </w:r>
      <w:r w:rsidRPr="00194692">
        <w:rPr>
          <w:b/>
        </w:rPr>
        <w:t>: Rashodi poslovanja u 202</w:t>
      </w:r>
      <w:r w:rsidR="0039742A">
        <w:rPr>
          <w:b/>
        </w:rPr>
        <w:t>4</w:t>
      </w:r>
      <w:r w:rsidRPr="00194692">
        <w:rPr>
          <w:b/>
        </w:rPr>
        <w:t>. i 202</w:t>
      </w:r>
      <w:r w:rsidR="0039742A">
        <w:rPr>
          <w:b/>
        </w:rPr>
        <w:t>5</w:t>
      </w:r>
      <w:r w:rsidRPr="00194692">
        <w:rPr>
          <w:b/>
        </w:rPr>
        <w:t>. godini</w:t>
      </w:r>
    </w:p>
    <w:p w:rsidR="00465BD3" w:rsidRDefault="00465BD3" w:rsidP="001F34DB"/>
    <w:tbl>
      <w:tblPr>
        <w:tblStyle w:val="TableGrid"/>
        <w:tblW w:w="10499" w:type="dxa"/>
        <w:tblLook w:val="04A0" w:firstRow="1" w:lastRow="0" w:firstColumn="1" w:lastColumn="0" w:noHBand="0" w:noVBand="1"/>
      </w:tblPr>
      <w:tblGrid>
        <w:gridCol w:w="4133"/>
        <w:gridCol w:w="1391"/>
        <w:gridCol w:w="1384"/>
        <w:gridCol w:w="1450"/>
        <w:gridCol w:w="1007"/>
        <w:gridCol w:w="1134"/>
      </w:tblGrid>
      <w:tr w:rsidR="00465BD3" w:rsidRPr="008761EA" w:rsidTr="006825EE">
        <w:trPr>
          <w:trHeight w:val="255"/>
        </w:trPr>
        <w:tc>
          <w:tcPr>
            <w:tcW w:w="4133" w:type="dxa"/>
            <w:noWrap/>
            <w:hideMark/>
          </w:tcPr>
          <w:p w:rsidR="00465BD3" w:rsidRPr="008761EA" w:rsidRDefault="00465BD3" w:rsidP="006825EE">
            <w:pPr>
              <w:jc w:val="center"/>
              <w:rPr>
                <w:b/>
                <w:bCs/>
                <w:sz w:val="20"/>
                <w:szCs w:val="20"/>
              </w:rPr>
            </w:pPr>
            <w:bookmarkStart w:id="5" w:name="_Hlk207350278"/>
            <w:r w:rsidRPr="008761EA">
              <w:rPr>
                <w:b/>
                <w:bCs/>
                <w:sz w:val="20"/>
                <w:szCs w:val="20"/>
              </w:rPr>
              <w:t>Račun / opis</w:t>
            </w:r>
          </w:p>
        </w:tc>
        <w:tc>
          <w:tcPr>
            <w:tcW w:w="1391" w:type="dxa"/>
            <w:noWrap/>
            <w:hideMark/>
          </w:tcPr>
          <w:p w:rsidR="00465BD3" w:rsidRPr="008761EA" w:rsidRDefault="00465BD3" w:rsidP="006825EE">
            <w:pPr>
              <w:jc w:val="center"/>
              <w:rPr>
                <w:b/>
                <w:bCs/>
                <w:sz w:val="20"/>
                <w:szCs w:val="20"/>
              </w:rPr>
            </w:pPr>
            <w:r w:rsidRPr="008761EA">
              <w:rPr>
                <w:b/>
                <w:bCs/>
                <w:sz w:val="20"/>
                <w:szCs w:val="20"/>
              </w:rPr>
              <w:t>Izvršenje    2024.</w:t>
            </w:r>
          </w:p>
        </w:tc>
        <w:tc>
          <w:tcPr>
            <w:tcW w:w="1384" w:type="dxa"/>
            <w:noWrap/>
            <w:hideMark/>
          </w:tcPr>
          <w:p w:rsidR="00465BD3" w:rsidRPr="008761EA" w:rsidRDefault="00465BD3" w:rsidP="006825EE">
            <w:pPr>
              <w:jc w:val="center"/>
              <w:rPr>
                <w:b/>
                <w:bCs/>
                <w:sz w:val="20"/>
                <w:szCs w:val="20"/>
              </w:rPr>
            </w:pPr>
            <w:r w:rsidRPr="008761EA">
              <w:rPr>
                <w:b/>
                <w:bCs/>
                <w:sz w:val="20"/>
                <w:szCs w:val="20"/>
              </w:rPr>
              <w:t>Izvorni plan 2025.</w:t>
            </w:r>
          </w:p>
        </w:tc>
        <w:tc>
          <w:tcPr>
            <w:tcW w:w="1450" w:type="dxa"/>
            <w:noWrap/>
            <w:hideMark/>
          </w:tcPr>
          <w:p w:rsidR="00465BD3" w:rsidRPr="008761EA" w:rsidRDefault="00465BD3" w:rsidP="006825EE">
            <w:pPr>
              <w:jc w:val="center"/>
              <w:rPr>
                <w:b/>
                <w:bCs/>
                <w:sz w:val="20"/>
                <w:szCs w:val="20"/>
              </w:rPr>
            </w:pPr>
            <w:r w:rsidRPr="008761EA">
              <w:rPr>
                <w:b/>
                <w:bCs/>
                <w:sz w:val="20"/>
                <w:szCs w:val="20"/>
              </w:rPr>
              <w:t>Izvršenje      2025.</w:t>
            </w:r>
          </w:p>
        </w:tc>
        <w:tc>
          <w:tcPr>
            <w:tcW w:w="1007" w:type="dxa"/>
            <w:noWrap/>
            <w:hideMark/>
          </w:tcPr>
          <w:p w:rsidR="00465BD3" w:rsidRPr="008761EA" w:rsidRDefault="00465BD3" w:rsidP="006825EE">
            <w:pPr>
              <w:jc w:val="center"/>
              <w:rPr>
                <w:b/>
                <w:bCs/>
                <w:sz w:val="20"/>
                <w:szCs w:val="20"/>
              </w:rPr>
            </w:pPr>
            <w:r w:rsidRPr="008761EA">
              <w:rPr>
                <w:b/>
                <w:bCs/>
                <w:sz w:val="20"/>
                <w:szCs w:val="20"/>
              </w:rPr>
              <w:t>Indeks  3/1</w:t>
            </w:r>
          </w:p>
        </w:tc>
        <w:tc>
          <w:tcPr>
            <w:tcW w:w="1134" w:type="dxa"/>
            <w:noWrap/>
            <w:hideMark/>
          </w:tcPr>
          <w:p w:rsidR="00465BD3" w:rsidRPr="008761EA" w:rsidRDefault="00465BD3" w:rsidP="006825EE">
            <w:pPr>
              <w:jc w:val="center"/>
              <w:rPr>
                <w:b/>
                <w:bCs/>
                <w:sz w:val="20"/>
                <w:szCs w:val="20"/>
              </w:rPr>
            </w:pPr>
            <w:r w:rsidRPr="008761EA">
              <w:rPr>
                <w:b/>
                <w:bCs/>
                <w:sz w:val="20"/>
                <w:szCs w:val="20"/>
              </w:rPr>
              <w:t>Indeks  3/2</w:t>
            </w:r>
          </w:p>
        </w:tc>
      </w:tr>
      <w:tr w:rsidR="00465BD3" w:rsidRPr="008761EA" w:rsidTr="006825EE">
        <w:trPr>
          <w:trHeight w:val="255"/>
        </w:trPr>
        <w:tc>
          <w:tcPr>
            <w:tcW w:w="4133" w:type="dxa"/>
            <w:noWrap/>
            <w:hideMark/>
          </w:tcPr>
          <w:p w:rsidR="00465BD3" w:rsidRPr="008761EA" w:rsidRDefault="00465BD3" w:rsidP="006825EE">
            <w:pPr>
              <w:rPr>
                <w:b/>
                <w:bCs/>
                <w:sz w:val="20"/>
                <w:szCs w:val="20"/>
              </w:rPr>
            </w:pPr>
          </w:p>
        </w:tc>
        <w:tc>
          <w:tcPr>
            <w:tcW w:w="1391" w:type="dxa"/>
            <w:noWrap/>
            <w:hideMark/>
          </w:tcPr>
          <w:p w:rsidR="00465BD3" w:rsidRPr="008761EA" w:rsidRDefault="00465BD3" w:rsidP="006825EE">
            <w:pPr>
              <w:jc w:val="center"/>
              <w:rPr>
                <w:b/>
                <w:bCs/>
                <w:sz w:val="20"/>
                <w:szCs w:val="20"/>
              </w:rPr>
            </w:pPr>
            <w:r w:rsidRPr="008761EA">
              <w:rPr>
                <w:b/>
                <w:bCs/>
                <w:sz w:val="20"/>
                <w:szCs w:val="20"/>
              </w:rPr>
              <w:t>1</w:t>
            </w:r>
          </w:p>
        </w:tc>
        <w:tc>
          <w:tcPr>
            <w:tcW w:w="1384" w:type="dxa"/>
            <w:noWrap/>
            <w:hideMark/>
          </w:tcPr>
          <w:p w:rsidR="00465BD3" w:rsidRPr="008761EA" w:rsidRDefault="00465BD3" w:rsidP="006825EE">
            <w:pPr>
              <w:jc w:val="center"/>
              <w:rPr>
                <w:b/>
                <w:bCs/>
                <w:sz w:val="20"/>
                <w:szCs w:val="20"/>
              </w:rPr>
            </w:pPr>
            <w:r w:rsidRPr="008761EA">
              <w:rPr>
                <w:b/>
                <w:bCs/>
                <w:sz w:val="20"/>
                <w:szCs w:val="20"/>
              </w:rPr>
              <w:t>2</w:t>
            </w:r>
          </w:p>
        </w:tc>
        <w:tc>
          <w:tcPr>
            <w:tcW w:w="1450" w:type="dxa"/>
            <w:noWrap/>
            <w:hideMark/>
          </w:tcPr>
          <w:p w:rsidR="00465BD3" w:rsidRPr="008761EA" w:rsidRDefault="00465BD3" w:rsidP="006825EE">
            <w:pPr>
              <w:jc w:val="center"/>
              <w:rPr>
                <w:b/>
                <w:bCs/>
                <w:sz w:val="20"/>
                <w:szCs w:val="20"/>
              </w:rPr>
            </w:pPr>
            <w:r w:rsidRPr="008761EA">
              <w:rPr>
                <w:b/>
                <w:bCs/>
                <w:sz w:val="20"/>
                <w:szCs w:val="20"/>
              </w:rPr>
              <w:t>3</w:t>
            </w:r>
          </w:p>
        </w:tc>
        <w:tc>
          <w:tcPr>
            <w:tcW w:w="1007" w:type="dxa"/>
            <w:noWrap/>
            <w:hideMark/>
          </w:tcPr>
          <w:p w:rsidR="00465BD3" w:rsidRPr="008761EA" w:rsidRDefault="00465BD3" w:rsidP="006825EE">
            <w:pPr>
              <w:jc w:val="center"/>
              <w:rPr>
                <w:b/>
                <w:bCs/>
                <w:sz w:val="20"/>
                <w:szCs w:val="20"/>
              </w:rPr>
            </w:pPr>
            <w:r w:rsidRPr="008761EA">
              <w:rPr>
                <w:b/>
                <w:bCs/>
                <w:sz w:val="20"/>
                <w:szCs w:val="20"/>
              </w:rPr>
              <w:t>4</w:t>
            </w:r>
          </w:p>
        </w:tc>
        <w:tc>
          <w:tcPr>
            <w:tcW w:w="1134" w:type="dxa"/>
            <w:noWrap/>
            <w:hideMark/>
          </w:tcPr>
          <w:p w:rsidR="00465BD3" w:rsidRPr="008761EA" w:rsidRDefault="00465BD3" w:rsidP="006825EE">
            <w:pPr>
              <w:jc w:val="center"/>
              <w:rPr>
                <w:b/>
                <w:bCs/>
                <w:sz w:val="20"/>
                <w:szCs w:val="20"/>
              </w:rPr>
            </w:pPr>
            <w:r w:rsidRPr="008761EA">
              <w:rPr>
                <w:b/>
                <w:bCs/>
                <w:sz w:val="20"/>
                <w:szCs w:val="20"/>
              </w:rPr>
              <w:t>5</w:t>
            </w:r>
          </w:p>
        </w:tc>
      </w:tr>
      <w:tr w:rsidR="00465BD3" w:rsidRPr="008761EA" w:rsidTr="006825EE">
        <w:trPr>
          <w:trHeight w:val="255"/>
        </w:trPr>
        <w:tc>
          <w:tcPr>
            <w:tcW w:w="4133" w:type="dxa"/>
            <w:noWrap/>
            <w:hideMark/>
          </w:tcPr>
          <w:p w:rsidR="00465BD3" w:rsidRPr="008761EA" w:rsidRDefault="00465BD3" w:rsidP="006825EE">
            <w:pPr>
              <w:rPr>
                <w:b/>
                <w:bCs/>
                <w:sz w:val="20"/>
                <w:szCs w:val="20"/>
              </w:rPr>
            </w:pPr>
            <w:r w:rsidRPr="008761EA">
              <w:rPr>
                <w:b/>
                <w:bCs/>
                <w:sz w:val="20"/>
                <w:szCs w:val="20"/>
              </w:rPr>
              <w:t>3 Rashodi poslovanja</w:t>
            </w:r>
          </w:p>
        </w:tc>
        <w:tc>
          <w:tcPr>
            <w:tcW w:w="1391" w:type="dxa"/>
            <w:noWrap/>
            <w:hideMark/>
          </w:tcPr>
          <w:p w:rsidR="00465BD3" w:rsidRPr="008761EA" w:rsidRDefault="001257E2" w:rsidP="006825EE">
            <w:pPr>
              <w:jc w:val="right"/>
              <w:rPr>
                <w:b/>
                <w:bCs/>
                <w:sz w:val="20"/>
                <w:szCs w:val="20"/>
              </w:rPr>
            </w:pPr>
            <w:r>
              <w:rPr>
                <w:b/>
                <w:bCs/>
                <w:sz w:val="20"/>
                <w:szCs w:val="20"/>
              </w:rPr>
              <w:t>2.368.545,60</w:t>
            </w:r>
          </w:p>
        </w:tc>
        <w:tc>
          <w:tcPr>
            <w:tcW w:w="1384" w:type="dxa"/>
            <w:noWrap/>
            <w:hideMark/>
          </w:tcPr>
          <w:p w:rsidR="00465BD3" w:rsidRPr="008761EA" w:rsidRDefault="00465BD3" w:rsidP="006825EE">
            <w:pPr>
              <w:jc w:val="right"/>
              <w:rPr>
                <w:b/>
                <w:bCs/>
                <w:sz w:val="20"/>
                <w:szCs w:val="20"/>
              </w:rPr>
            </w:pPr>
            <w:r w:rsidRPr="008761EA">
              <w:rPr>
                <w:b/>
                <w:bCs/>
                <w:sz w:val="20"/>
                <w:szCs w:val="20"/>
              </w:rPr>
              <w:t>3.</w:t>
            </w:r>
            <w:r w:rsidR="001257E2">
              <w:rPr>
                <w:b/>
                <w:bCs/>
                <w:sz w:val="20"/>
                <w:szCs w:val="20"/>
              </w:rPr>
              <w:t>401.163</w:t>
            </w:r>
            <w:r w:rsidRPr="008761EA">
              <w:rPr>
                <w:b/>
                <w:bCs/>
                <w:sz w:val="20"/>
                <w:szCs w:val="20"/>
              </w:rPr>
              <w:t>,00</w:t>
            </w:r>
          </w:p>
        </w:tc>
        <w:tc>
          <w:tcPr>
            <w:tcW w:w="1450" w:type="dxa"/>
            <w:noWrap/>
            <w:hideMark/>
          </w:tcPr>
          <w:p w:rsidR="00465BD3" w:rsidRPr="008761EA" w:rsidRDefault="001257E2" w:rsidP="006825EE">
            <w:pPr>
              <w:jc w:val="right"/>
              <w:rPr>
                <w:b/>
                <w:bCs/>
                <w:sz w:val="20"/>
                <w:szCs w:val="20"/>
              </w:rPr>
            </w:pPr>
            <w:r>
              <w:rPr>
                <w:b/>
                <w:bCs/>
                <w:sz w:val="20"/>
                <w:szCs w:val="20"/>
              </w:rPr>
              <w:t>3.167.559,08</w:t>
            </w:r>
          </w:p>
        </w:tc>
        <w:tc>
          <w:tcPr>
            <w:tcW w:w="1007" w:type="dxa"/>
            <w:noWrap/>
            <w:hideMark/>
          </w:tcPr>
          <w:p w:rsidR="00465BD3" w:rsidRPr="008761EA" w:rsidRDefault="001257E2" w:rsidP="00C720A5">
            <w:pPr>
              <w:jc w:val="right"/>
              <w:rPr>
                <w:b/>
                <w:bCs/>
                <w:sz w:val="20"/>
                <w:szCs w:val="20"/>
              </w:rPr>
            </w:pPr>
            <w:r>
              <w:rPr>
                <w:b/>
                <w:bCs/>
                <w:sz w:val="20"/>
                <w:szCs w:val="20"/>
              </w:rPr>
              <w:t>133,73</w:t>
            </w:r>
            <w:r w:rsidR="00465BD3" w:rsidRPr="008761EA">
              <w:rPr>
                <w:b/>
                <w:bCs/>
                <w:sz w:val="20"/>
                <w:szCs w:val="20"/>
              </w:rPr>
              <w:t>%</w:t>
            </w:r>
          </w:p>
        </w:tc>
        <w:tc>
          <w:tcPr>
            <w:tcW w:w="1134" w:type="dxa"/>
            <w:noWrap/>
            <w:hideMark/>
          </w:tcPr>
          <w:p w:rsidR="00465BD3" w:rsidRPr="008761EA" w:rsidRDefault="001257E2" w:rsidP="00C720A5">
            <w:pPr>
              <w:jc w:val="right"/>
              <w:rPr>
                <w:b/>
                <w:bCs/>
                <w:sz w:val="20"/>
                <w:szCs w:val="20"/>
              </w:rPr>
            </w:pPr>
            <w:r>
              <w:rPr>
                <w:b/>
                <w:bCs/>
                <w:sz w:val="20"/>
                <w:szCs w:val="20"/>
              </w:rPr>
              <w:t>93,13</w:t>
            </w:r>
            <w:r w:rsidR="00465BD3" w:rsidRPr="008761EA">
              <w:rPr>
                <w:b/>
                <w:bCs/>
                <w:sz w:val="20"/>
                <w:szCs w:val="20"/>
              </w:rPr>
              <w:t>%</w:t>
            </w:r>
          </w:p>
        </w:tc>
      </w:tr>
      <w:tr w:rsidR="00465BD3" w:rsidRPr="008761EA" w:rsidTr="001257E2">
        <w:trPr>
          <w:trHeight w:val="255"/>
        </w:trPr>
        <w:tc>
          <w:tcPr>
            <w:tcW w:w="4133" w:type="dxa"/>
            <w:noWrap/>
            <w:hideMark/>
          </w:tcPr>
          <w:p w:rsidR="00465BD3" w:rsidRPr="008761EA" w:rsidRDefault="00465BD3" w:rsidP="006825EE">
            <w:pPr>
              <w:rPr>
                <w:bCs/>
                <w:sz w:val="20"/>
                <w:szCs w:val="20"/>
              </w:rPr>
            </w:pPr>
            <w:r w:rsidRPr="008761EA">
              <w:rPr>
                <w:bCs/>
                <w:sz w:val="20"/>
                <w:szCs w:val="20"/>
              </w:rPr>
              <w:t>31 Rashodi za zaposlene</w:t>
            </w:r>
          </w:p>
        </w:tc>
        <w:tc>
          <w:tcPr>
            <w:tcW w:w="1391" w:type="dxa"/>
            <w:noWrap/>
          </w:tcPr>
          <w:p w:rsidR="00465BD3" w:rsidRPr="008761EA" w:rsidRDefault="001257E2" w:rsidP="006825EE">
            <w:pPr>
              <w:jc w:val="right"/>
              <w:rPr>
                <w:bCs/>
                <w:sz w:val="20"/>
                <w:szCs w:val="20"/>
              </w:rPr>
            </w:pPr>
            <w:r>
              <w:rPr>
                <w:bCs/>
                <w:sz w:val="20"/>
                <w:szCs w:val="20"/>
              </w:rPr>
              <w:t>843.719,29</w:t>
            </w:r>
          </w:p>
        </w:tc>
        <w:tc>
          <w:tcPr>
            <w:tcW w:w="1384" w:type="dxa"/>
            <w:noWrap/>
          </w:tcPr>
          <w:p w:rsidR="00465BD3" w:rsidRPr="008761EA" w:rsidRDefault="001257E2" w:rsidP="006825EE">
            <w:pPr>
              <w:jc w:val="right"/>
              <w:rPr>
                <w:bCs/>
                <w:sz w:val="20"/>
                <w:szCs w:val="20"/>
              </w:rPr>
            </w:pPr>
            <w:r>
              <w:rPr>
                <w:bCs/>
                <w:sz w:val="20"/>
                <w:szCs w:val="20"/>
              </w:rPr>
              <w:t>1.207.781,00</w:t>
            </w:r>
          </w:p>
        </w:tc>
        <w:tc>
          <w:tcPr>
            <w:tcW w:w="1450" w:type="dxa"/>
            <w:noWrap/>
          </w:tcPr>
          <w:p w:rsidR="00465BD3" w:rsidRPr="008761EA" w:rsidRDefault="001257E2" w:rsidP="006825EE">
            <w:pPr>
              <w:jc w:val="right"/>
              <w:rPr>
                <w:bCs/>
                <w:sz w:val="20"/>
                <w:szCs w:val="20"/>
              </w:rPr>
            </w:pPr>
            <w:r>
              <w:rPr>
                <w:bCs/>
                <w:sz w:val="20"/>
                <w:szCs w:val="20"/>
              </w:rPr>
              <w:t>1.195.341,66</w:t>
            </w:r>
          </w:p>
        </w:tc>
        <w:tc>
          <w:tcPr>
            <w:tcW w:w="1007" w:type="dxa"/>
            <w:noWrap/>
            <w:hideMark/>
          </w:tcPr>
          <w:p w:rsidR="00465BD3" w:rsidRPr="008761EA" w:rsidRDefault="001257E2" w:rsidP="006825EE">
            <w:pPr>
              <w:jc w:val="right"/>
              <w:rPr>
                <w:bCs/>
                <w:sz w:val="20"/>
                <w:szCs w:val="20"/>
              </w:rPr>
            </w:pPr>
            <w:r>
              <w:rPr>
                <w:bCs/>
                <w:sz w:val="20"/>
                <w:szCs w:val="20"/>
              </w:rPr>
              <w:t>141,68</w:t>
            </w:r>
            <w:r w:rsidR="00465BD3" w:rsidRPr="008761EA">
              <w:rPr>
                <w:bCs/>
                <w:sz w:val="20"/>
                <w:szCs w:val="20"/>
              </w:rPr>
              <w:t>%</w:t>
            </w:r>
          </w:p>
        </w:tc>
        <w:tc>
          <w:tcPr>
            <w:tcW w:w="1134" w:type="dxa"/>
            <w:noWrap/>
            <w:hideMark/>
          </w:tcPr>
          <w:p w:rsidR="00465BD3" w:rsidRPr="008761EA" w:rsidRDefault="001257E2" w:rsidP="006825EE">
            <w:pPr>
              <w:jc w:val="right"/>
              <w:rPr>
                <w:bCs/>
                <w:sz w:val="20"/>
                <w:szCs w:val="20"/>
              </w:rPr>
            </w:pPr>
            <w:r>
              <w:rPr>
                <w:bCs/>
                <w:sz w:val="20"/>
                <w:szCs w:val="20"/>
              </w:rPr>
              <w:t>98,97</w:t>
            </w:r>
            <w:r w:rsidR="00465BD3" w:rsidRPr="008761EA">
              <w:rPr>
                <w:bCs/>
                <w:sz w:val="20"/>
                <w:szCs w:val="20"/>
              </w:rPr>
              <w:t>%</w:t>
            </w:r>
          </w:p>
        </w:tc>
      </w:tr>
      <w:tr w:rsidR="00465BD3" w:rsidRPr="008761EA" w:rsidTr="006825EE">
        <w:trPr>
          <w:trHeight w:val="255"/>
        </w:trPr>
        <w:tc>
          <w:tcPr>
            <w:tcW w:w="4133" w:type="dxa"/>
            <w:noWrap/>
            <w:hideMark/>
          </w:tcPr>
          <w:p w:rsidR="00465BD3" w:rsidRPr="008761EA" w:rsidRDefault="00465BD3" w:rsidP="006825EE">
            <w:pPr>
              <w:rPr>
                <w:bCs/>
                <w:sz w:val="20"/>
                <w:szCs w:val="20"/>
              </w:rPr>
            </w:pPr>
            <w:r w:rsidRPr="008761EA">
              <w:rPr>
                <w:bCs/>
                <w:sz w:val="20"/>
                <w:szCs w:val="20"/>
              </w:rPr>
              <w:t>32 Materijalni rashodi</w:t>
            </w:r>
          </w:p>
        </w:tc>
        <w:tc>
          <w:tcPr>
            <w:tcW w:w="1391" w:type="dxa"/>
            <w:noWrap/>
            <w:hideMark/>
          </w:tcPr>
          <w:p w:rsidR="00465BD3" w:rsidRPr="008761EA" w:rsidRDefault="001257E2" w:rsidP="006825EE">
            <w:pPr>
              <w:jc w:val="right"/>
              <w:rPr>
                <w:bCs/>
                <w:sz w:val="20"/>
                <w:szCs w:val="20"/>
              </w:rPr>
            </w:pPr>
            <w:r>
              <w:rPr>
                <w:bCs/>
                <w:sz w:val="20"/>
                <w:szCs w:val="20"/>
              </w:rPr>
              <w:t>710.589,12</w:t>
            </w:r>
          </w:p>
        </w:tc>
        <w:tc>
          <w:tcPr>
            <w:tcW w:w="1384" w:type="dxa"/>
            <w:noWrap/>
            <w:hideMark/>
          </w:tcPr>
          <w:p w:rsidR="00465BD3" w:rsidRPr="008761EA" w:rsidRDefault="001257E2" w:rsidP="006825EE">
            <w:pPr>
              <w:jc w:val="right"/>
              <w:rPr>
                <w:bCs/>
                <w:sz w:val="20"/>
                <w:szCs w:val="20"/>
              </w:rPr>
            </w:pPr>
            <w:r>
              <w:rPr>
                <w:bCs/>
                <w:sz w:val="20"/>
                <w:szCs w:val="20"/>
              </w:rPr>
              <w:t>1.073.539,00</w:t>
            </w:r>
          </w:p>
        </w:tc>
        <w:tc>
          <w:tcPr>
            <w:tcW w:w="1450" w:type="dxa"/>
            <w:noWrap/>
            <w:hideMark/>
          </w:tcPr>
          <w:p w:rsidR="00465BD3" w:rsidRPr="008761EA" w:rsidRDefault="001257E2" w:rsidP="006825EE">
            <w:pPr>
              <w:jc w:val="right"/>
              <w:rPr>
                <w:bCs/>
                <w:sz w:val="20"/>
                <w:szCs w:val="20"/>
              </w:rPr>
            </w:pPr>
            <w:r>
              <w:rPr>
                <w:bCs/>
                <w:sz w:val="20"/>
                <w:szCs w:val="20"/>
              </w:rPr>
              <w:t>959.966,36</w:t>
            </w:r>
          </w:p>
        </w:tc>
        <w:tc>
          <w:tcPr>
            <w:tcW w:w="1007" w:type="dxa"/>
            <w:noWrap/>
            <w:hideMark/>
          </w:tcPr>
          <w:p w:rsidR="00465BD3" w:rsidRPr="008761EA" w:rsidRDefault="00465BD3" w:rsidP="006825EE">
            <w:pPr>
              <w:jc w:val="right"/>
              <w:rPr>
                <w:bCs/>
                <w:sz w:val="20"/>
                <w:szCs w:val="20"/>
              </w:rPr>
            </w:pPr>
            <w:r w:rsidRPr="008761EA">
              <w:rPr>
                <w:bCs/>
                <w:sz w:val="20"/>
                <w:szCs w:val="20"/>
              </w:rPr>
              <w:t>1</w:t>
            </w:r>
            <w:r w:rsidR="001257E2">
              <w:rPr>
                <w:bCs/>
                <w:sz w:val="20"/>
                <w:szCs w:val="20"/>
              </w:rPr>
              <w:t>35,09</w:t>
            </w:r>
            <w:r w:rsidRPr="008761EA">
              <w:rPr>
                <w:bCs/>
                <w:sz w:val="20"/>
                <w:szCs w:val="20"/>
              </w:rPr>
              <w:t>%</w:t>
            </w:r>
          </w:p>
        </w:tc>
        <w:tc>
          <w:tcPr>
            <w:tcW w:w="1134" w:type="dxa"/>
            <w:noWrap/>
            <w:hideMark/>
          </w:tcPr>
          <w:p w:rsidR="00465BD3" w:rsidRPr="008761EA" w:rsidRDefault="001257E2" w:rsidP="006825EE">
            <w:pPr>
              <w:jc w:val="right"/>
              <w:rPr>
                <w:bCs/>
                <w:sz w:val="20"/>
                <w:szCs w:val="20"/>
              </w:rPr>
            </w:pPr>
            <w:r>
              <w:rPr>
                <w:bCs/>
                <w:sz w:val="20"/>
                <w:szCs w:val="20"/>
              </w:rPr>
              <w:t>89,42</w:t>
            </w:r>
            <w:r w:rsidR="00465BD3" w:rsidRPr="008761EA">
              <w:rPr>
                <w:bCs/>
                <w:sz w:val="20"/>
                <w:szCs w:val="20"/>
              </w:rPr>
              <w:t>%</w:t>
            </w:r>
          </w:p>
        </w:tc>
      </w:tr>
      <w:tr w:rsidR="00465BD3" w:rsidRPr="008761EA" w:rsidTr="001257E2">
        <w:trPr>
          <w:trHeight w:val="255"/>
        </w:trPr>
        <w:tc>
          <w:tcPr>
            <w:tcW w:w="4133" w:type="dxa"/>
            <w:noWrap/>
            <w:hideMark/>
          </w:tcPr>
          <w:p w:rsidR="00465BD3" w:rsidRPr="008761EA" w:rsidRDefault="00465BD3" w:rsidP="006825EE">
            <w:pPr>
              <w:rPr>
                <w:bCs/>
                <w:sz w:val="20"/>
                <w:szCs w:val="20"/>
              </w:rPr>
            </w:pPr>
            <w:r w:rsidRPr="008761EA">
              <w:rPr>
                <w:bCs/>
                <w:sz w:val="20"/>
                <w:szCs w:val="20"/>
              </w:rPr>
              <w:t>34 Financijski rashodi</w:t>
            </w:r>
          </w:p>
        </w:tc>
        <w:tc>
          <w:tcPr>
            <w:tcW w:w="1391" w:type="dxa"/>
            <w:noWrap/>
          </w:tcPr>
          <w:p w:rsidR="00465BD3" w:rsidRPr="008761EA" w:rsidRDefault="001257E2" w:rsidP="006825EE">
            <w:pPr>
              <w:jc w:val="right"/>
              <w:rPr>
                <w:bCs/>
                <w:sz w:val="20"/>
                <w:szCs w:val="20"/>
              </w:rPr>
            </w:pPr>
            <w:r>
              <w:rPr>
                <w:bCs/>
                <w:sz w:val="20"/>
                <w:szCs w:val="20"/>
              </w:rPr>
              <w:t>11.845,35</w:t>
            </w:r>
          </w:p>
        </w:tc>
        <w:tc>
          <w:tcPr>
            <w:tcW w:w="1384" w:type="dxa"/>
            <w:noWrap/>
          </w:tcPr>
          <w:p w:rsidR="00465BD3" w:rsidRPr="008761EA" w:rsidRDefault="001257E2" w:rsidP="006825EE">
            <w:pPr>
              <w:jc w:val="right"/>
              <w:rPr>
                <w:bCs/>
                <w:sz w:val="20"/>
                <w:szCs w:val="20"/>
              </w:rPr>
            </w:pPr>
            <w:r>
              <w:rPr>
                <w:bCs/>
                <w:sz w:val="20"/>
                <w:szCs w:val="20"/>
              </w:rPr>
              <w:t>18.382,00</w:t>
            </w:r>
          </w:p>
        </w:tc>
        <w:tc>
          <w:tcPr>
            <w:tcW w:w="1450" w:type="dxa"/>
            <w:noWrap/>
          </w:tcPr>
          <w:p w:rsidR="00465BD3" w:rsidRPr="008761EA" w:rsidRDefault="001257E2" w:rsidP="006825EE">
            <w:pPr>
              <w:jc w:val="right"/>
              <w:rPr>
                <w:bCs/>
                <w:sz w:val="20"/>
                <w:szCs w:val="20"/>
              </w:rPr>
            </w:pPr>
            <w:r>
              <w:rPr>
                <w:bCs/>
                <w:sz w:val="20"/>
                <w:szCs w:val="20"/>
              </w:rPr>
              <w:t>17.372,67</w:t>
            </w:r>
          </w:p>
        </w:tc>
        <w:tc>
          <w:tcPr>
            <w:tcW w:w="1007" w:type="dxa"/>
            <w:noWrap/>
            <w:hideMark/>
          </w:tcPr>
          <w:p w:rsidR="00465BD3" w:rsidRPr="008761EA" w:rsidRDefault="001257E2" w:rsidP="006825EE">
            <w:pPr>
              <w:jc w:val="right"/>
              <w:rPr>
                <w:bCs/>
                <w:sz w:val="20"/>
                <w:szCs w:val="20"/>
              </w:rPr>
            </w:pPr>
            <w:r>
              <w:rPr>
                <w:bCs/>
                <w:sz w:val="20"/>
                <w:szCs w:val="20"/>
              </w:rPr>
              <w:t>146,66</w:t>
            </w:r>
            <w:r w:rsidR="00465BD3" w:rsidRPr="008761EA">
              <w:rPr>
                <w:bCs/>
                <w:sz w:val="20"/>
                <w:szCs w:val="20"/>
              </w:rPr>
              <w:t>%</w:t>
            </w:r>
          </w:p>
        </w:tc>
        <w:tc>
          <w:tcPr>
            <w:tcW w:w="1134" w:type="dxa"/>
            <w:noWrap/>
            <w:hideMark/>
          </w:tcPr>
          <w:p w:rsidR="00465BD3" w:rsidRPr="008761EA" w:rsidRDefault="001257E2" w:rsidP="006825EE">
            <w:pPr>
              <w:jc w:val="right"/>
              <w:rPr>
                <w:bCs/>
                <w:sz w:val="20"/>
                <w:szCs w:val="20"/>
              </w:rPr>
            </w:pPr>
            <w:r>
              <w:rPr>
                <w:bCs/>
                <w:sz w:val="20"/>
                <w:szCs w:val="20"/>
              </w:rPr>
              <w:t>94,51</w:t>
            </w:r>
            <w:r w:rsidR="00465BD3" w:rsidRPr="008761EA">
              <w:rPr>
                <w:bCs/>
                <w:sz w:val="20"/>
                <w:szCs w:val="20"/>
              </w:rPr>
              <w:t>%</w:t>
            </w:r>
          </w:p>
        </w:tc>
      </w:tr>
      <w:tr w:rsidR="00465BD3" w:rsidRPr="008761EA" w:rsidTr="006825EE">
        <w:trPr>
          <w:trHeight w:val="255"/>
        </w:trPr>
        <w:tc>
          <w:tcPr>
            <w:tcW w:w="4133" w:type="dxa"/>
            <w:noWrap/>
            <w:hideMark/>
          </w:tcPr>
          <w:p w:rsidR="00465BD3" w:rsidRPr="008761EA" w:rsidRDefault="00465BD3" w:rsidP="006825EE">
            <w:pPr>
              <w:rPr>
                <w:bCs/>
                <w:sz w:val="20"/>
                <w:szCs w:val="20"/>
              </w:rPr>
            </w:pPr>
            <w:r w:rsidRPr="008761EA">
              <w:rPr>
                <w:bCs/>
                <w:sz w:val="20"/>
                <w:szCs w:val="20"/>
              </w:rPr>
              <w:t>35 Subvencije</w:t>
            </w:r>
          </w:p>
        </w:tc>
        <w:tc>
          <w:tcPr>
            <w:tcW w:w="1391" w:type="dxa"/>
            <w:noWrap/>
            <w:hideMark/>
          </w:tcPr>
          <w:p w:rsidR="00465BD3" w:rsidRPr="008761EA" w:rsidRDefault="00E226FD" w:rsidP="006825EE">
            <w:pPr>
              <w:jc w:val="right"/>
              <w:rPr>
                <w:bCs/>
                <w:sz w:val="20"/>
                <w:szCs w:val="20"/>
              </w:rPr>
            </w:pPr>
            <w:r>
              <w:rPr>
                <w:bCs/>
                <w:sz w:val="20"/>
                <w:szCs w:val="20"/>
              </w:rPr>
              <w:t>38.209,65</w:t>
            </w:r>
          </w:p>
        </w:tc>
        <w:tc>
          <w:tcPr>
            <w:tcW w:w="1384" w:type="dxa"/>
            <w:noWrap/>
            <w:hideMark/>
          </w:tcPr>
          <w:p w:rsidR="00465BD3" w:rsidRPr="008761EA" w:rsidRDefault="00E226FD" w:rsidP="006825EE">
            <w:pPr>
              <w:jc w:val="right"/>
              <w:rPr>
                <w:bCs/>
                <w:sz w:val="20"/>
                <w:szCs w:val="20"/>
              </w:rPr>
            </w:pPr>
            <w:r>
              <w:rPr>
                <w:bCs/>
                <w:sz w:val="20"/>
                <w:szCs w:val="20"/>
              </w:rPr>
              <w:t>117.742</w:t>
            </w:r>
            <w:r w:rsidR="00465BD3" w:rsidRPr="008761EA">
              <w:rPr>
                <w:bCs/>
                <w:sz w:val="20"/>
                <w:szCs w:val="20"/>
              </w:rPr>
              <w:t>,00</w:t>
            </w:r>
          </w:p>
        </w:tc>
        <w:tc>
          <w:tcPr>
            <w:tcW w:w="1450" w:type="dxa"/>
            <w:noWrap/>
            <w:hideMark/>
          </w:tcPr>
          <w:p w:rsidR="00465BD3" w:rsidRPr="008761EA" w:rsidRDefault="007F438F" w:rsidP="006825EE">
            <w:pPr>
              <w:jc w:val="right"/>
              <w:rPr>
                <w:bCs/>
                <w:sz w:val="20"/>
                <w:szCs w:val="20"/>
              </w:rPr>
            </w:pPr>
            <w:r>
              <w:rPr>
                <w:bCs/>
                <w:sz w:val="20"/>
                <w:szCs w:val="20"/>
              </w:rPr>
              <w:t>92.851,41</w:t>
            </w:r>
          </w:p>
        </w:tc>
        <w:tc>
          <w:tcPr>
            <w:tcW w:w="1007" w:type="dxa"/>
            <w:noWrap/>
            <w:hideMark/>
          </w:tcPr>
          <w:p w:rsidR="00465BD3" w:rsidRPr="008761EA" w:rsidRDefault="007F438F" w:rsidP="006825EE">
            <w:pPr>
              <w:jc w:val="right"/>
              <w:rPr>
                <w:bCs/>
                <w:sz w:val="20"/>
                <w:szCs w:val="20"/>
              </w:rPr>
            </w:pPr>
            <w:r>
              <w:rPr>
                <w:bCs/>
                <w:sz w:val="20"/>
                <w:szCs w:val="20"/>
              </w:rPr>
              <w:t>243,01</w:t>
            </w:r>
            <w:r w:rsidR="00465BD3" w:rsidRPr="008761EA">
              <w:rPr>
                <w:bCs/>
                <w:sz w:val="20"/>
                <w:szCs w:val="20"/>
              </w:rPr>
              <w:t>%</w:t>
            </w:r>
          </w:p>
        </w:tc>
        <w:tc>
          <w:tcPr>
            <w:tcW w:w="1134" w:type="dxa"/>
            <w:noWrap/>
            <w:hideMark/>
          </w:tcPr>
          <w:p w:rsidR="00465BD3" w:rsidRPr="008761EA" w:rsidRDefault="007F438F" w:rsidP="006825EE">
            <w:pPr>
              <w:jc w:val="right"/>
              <w:rPr>
                <w:bCs/>
                <w:sz w:val="20"/>
                <w:szCs w:val="20"/>
              </w:rPr>
            </w:pPr>
            <w:r>
              <w:rPr>
                <w:bCs/>
                <w:sz w:val="20"/>
                <w:szCs w:val="20"/>
              </w:rPr>
              <w:t>78,86</w:t>
            </w:r>
            <w:r w:rsidR="00465BD3" w:rsidRPr="008761EA">
              <w:rPr>
                <w:bCs/>
                <w:sz w:val="20"/>
                <w:szCs w:val="20"/>
              </w:rPr>
              <w:t>%</w:t>
            </w:r>
          </w:p>
        </w:tc>
      </w:tr>
      <w:tr w:rsidR="00465BD3" w:rsidRPr="008761EA" w:rsidTr="006825EE">
        <w:trPr>
          <w:trHeight w:val="255"/>
        </w:trPr>
        <w:tc>
          <w:tcPr>
            <w:tcW w:w="4133" w:type="dxa"/>
            <w:noWrap/>
            <w:hideMark/>
          </w:tcPr>
          <w:p w:rsidR="00465BD3" w:rsidRPr="008761EA" w:rsidRDefault="00465BD3" w:rsidP="006825EE">
            <w:pPr>
              <w:rPr>
                <w:bCs/>
                <w:sz w:val="20"/>
                <w:szCs w:val="20"/>
              </w:rPr>
            </w:pPr>
            <w:r w:rsidRPr="008761EA">
              <w:rPr>
                <w:bCs/>
                <w:sz w:val="20"/>
                <w:szCs w:val="20"/>
              </w:rPr>
              <w:t>37 Naknade građanima i kućanstvima na temelju osiguranja i druge naknade</w:t>
            </w:r>
          </w:p>
        </w:tc>
        <w:tc>
          <w:tcPr>
            <w:tcW w:w="1391" w:type="dxa"/>
            <w:noWrap/>
            <w:hideMark/>
          </w:tcPr>
          <w:p w:rsidR="00465BD3" w:rsidRPr="008761EA" w:rsidRDefault="007F438F" w:rsidP="006825EE">
            <w:pPr>
              <w:jc w:val="right"/>
              <w:rPr>
                <w:bCs/>
                <w:sz w:val="20"/>
                <w:szCs w:val="20"/>
              </w:rPr>
            </w:pPr>
            <w:r>
              <w:rPr>
                <w:bCs/>
                <w:sz w:val="20"/>
                <w:szCs w:val="20"/>
              </w:rPr>
              <w:t>92.477,34</w:t>
            </w:r>
          </w:p>
        </w:tc>
        <w:tc>
          <w:tcPr>
            <w:tcW w:w="1384" w:type="dxa"/>
            <w:noWrap/>
            <w:hideMark/>
          </w:tcPr>
          <w:p w:rsidR="00465BD3" w:rsidRPr="008761EA" w:rsidRDefault="007F438F" w:rsidP="006825EE">
            <w:pPr>
              <w:jc w:val="right"/>
              <w:rPr>
                <w:bCs/>
                <w:sz w:val="20"/>
                <w:szCs w:val="20"/>
              </w:rPr>
            </w:pPr>
            <w:r>
              <w:rPr>
                <w:bCs/>
                <w:sz w:val="20"/>
                <w:szCs w:val="20"/>
              </w:rPr>
              <w:t>127.953,</w:t>
            </w:r>
            <w:r w:rsidR="00465BD3" w:rsidRPr="008761EA">
              <w:rPr>
                <w:bCs/>
                <w:sz w:val="20"/>
                <w:szCs w:val="20"/>
              </w:rPr>
              <w:t>00</w:t>
            </w:r>
          </w:p>
        </w:tc>
        <w:tc>
          <w:tcPr>
            <w:tcW w:w="1450" w:type="dxa"/>
            <w:noWrap/>
            <w:hideMark/>
          </w:tcPr>
          <w:p w:rsidR="00465BD3" w:rsidRPr="008761EA" w:rsidRDefault="007F438F" w:rsidP="006825EE">
            <w:pPr>
              <w:jc w:val="right"/>
              <w:rPr>
                <w:bCs/>
                <w:sz w:val="20"/>
                <w:szCs w:val="20"/>
              </w:rPr>
            </w:pPr>
            <w:r>
              <w:rPr>
                <w:bCs/>
                <w:sz w:val="20"/>
                <w:szCs w:val="20"/>
              </w:rPr>
              <w:t>115.505,13</w:t>
            </w:r>
          </w:p>
        </w:tc>
        <w:tc>
          <w:tcPr>
            <w:tcW w:w="1007" w:type="dxa"/>
            <w:noWrap/>
            <w:hideMark/>
          </w:tcPr>
          <w:p w:rsidR="00465BD3" w:rsidRPr="008761EA" w:rsidRDefault="007F438F" w:rsidP="006825EE">
            <w:pPr>
              <w:jc w:val="right"/>
              <w:rPr>
                <w:bCs/>
                <w:sz w:val="20"/>
                <w:szCs w:val="20"/>
              </w:rPr>
            </w:pPr>
            <w:r>
              <w:rPr>
                <w:bCs/>
                <w:sz w:val="20"/>
                <w:szCs w:val="20"/>
              </w:rPr>
              <w:t>124,90</w:t>
            </w:r>
            <w:r w:rsidR="00465BD3" w:rsidRPr="008761EA">
              <w:rPr>
                <w:bCs/>
                <w:sz w:val="20"/>
                <w:szCs w:val="20"/>
              </w:rPr>
              <w:t>%</w:t>
            </w:r>
          </w:p>
        </w:tc>
        <w:tc>
          <w:tcPr>
            <w:tcW w:w="1134" w:type="dxa"/>
            <w:noWrap/>
            <w:hideMark/>
          </w:tcPr>
          <w:p w:rsidR="00465BD3" w:rsidRPr="008761EA" w:rsidRDefault="007F438F" w:rsidP="006825EE">
            <w:pPr>
              <w:jc w:val="right"/>
              <w:rPr>
                <w:bCs/>
                <w:sz w:val="20"/>
                <w:szCs w:val="20"/>
              </w:rPr>
            </w:pPr>
            <w:r>
              <w:rPr>
                <w:bCs/>
                <w:sz w:val="20"/>
                <w:szCs w:val="20"/>
              </w:rPr>
              <w:t>90,27</w:t>
            </w:r>
            <w:r w:rsidR="00465BD3" w:rsidRPr="008761EA">
              <w:rPr>
                <w:bCs/>
                <w:sz w:val="20"/>
                <w:szCs w:val="20"/>
              </w:rPr>
              <w:t>%</w:t>
            </w:r>
          </w:p>
        </w:tc>
      </w:tr>
      <w:tr w:rsidR="00465BD3" w:rsidRPr="008761EA" w:rsidTr="007F438F">
        <w:trPr>
          <w:trHeight w:val="255"/>
        </w:trPr>
        <w:tc>
          <w:tcPr>
            <w:tcW w:w="4133" w:type="dxa"/>
            <w:noWrap/>
            <w:hideMark/>
          </w:tcPr>
          <w:p w:rsidR="00465BD3" w:rsidRPr="008761EA" w:rsidRDefault="00465BD3" w:rsidP="006825EE">
            <w:pPr>
              <w:rPr>
                <w:bCs/>
                <w:sz w:val="20"/>
                <w:szCs w:val="20"/>
              </w:rPr>
            </w:pPr>
            <w:r w:rsidRPr="008761EA">
              <w:rPr>
                <w:bCs/>
                <w:sz w:val="20"/>
                <w:szCs w:val="20"/>
              </w:rPr>
              <w:t>38 Rashodi za donacije, kazne, naknade šteta i kapitalne pomoći</w:t>
            </w:r>
          </w:p>
        </w:tc>
        <w:tc>
          <w:tcPr>
            <w:tcW w:w="1391" w:type="dxa"/>
            <w:noWrap/>
          </w:tcPr>
          <w:p w:rsidR="00465BD3" w:rsidRPr="008761EA" w:rsidRDefault="007F438F" w:rsidP="006825EE">
            <w:pPr>
              <w:jc w:val="right"/>
              <w:rPr>
                <w:bCs/>
                <w:sz w:val="20"/>
                <w:szCs w:val="20"/>
              </w:rPr>
            </w:pPr>
            <w:r>
              <w:rPr>
                <w:bCs/>
                <w:sz w:val="20"/>
                <w:szCs w:val="20"/>
              </w:rPr>
              <w:t>671.704,85</w:t>
            </w:r>
          </w:p>
        </w:tc>
        <w:tc>
          <w:tcPr>
            <w:tcW w:w="1384" w:type="dxa"/>
            <w:noWrap/>
          </w:tcPr>
          <w:p w:rsidR="00465BD3" w:rsidRPr="008761EA" w:rsidRDefault="007F438F" w:rsidP="006825EE">
            <w:pPr>
              <w:jc w:val="right"/>
              <w:rPr>
                <w:bCs/>
                <w:sz w:val="20"/>
                <w:szCs w:val="20"/>
              </w:rPr>
            </w:pPr>
            <w:r>
              <w:rPr>
                <w:bCs/>
                <w:sz w:val="20"/>
                <w:szCs w:val="20"/>
              </w:rPr>
              <w:t>855.766,00</w:t>
            </w:r>
          </w:p>
        </w:tc>
        <w:tc>
          <w:tcPr>
            <w:tcW w:w="1450" w:type="dxa"/>
            <w:noWrap/>
          </w:tcPr>
          <w:p w:rsidR="00465BD3" w:rsidRPr="008761EA" w:rsidRDefault="007F438F" w:rsidP="006825EE">
            <w:pPr>
              <w:jc w:val="right"/>
              <w:rPr>
                <w:bCs/>
                <w:sz w:val="20"/>
                <w:szCs w:val="20"/>
              </w:rPr>
            </w:pPr>
            <w:r>
              <w:rPr>
                <w:bCs/>
                <w:sz w:val="20"/>
                <w:szCs w:val="20"/>
              </w:rPr>
              <w:t>786.521,85</w:t>
            </w:r>
          </w:p>
        </w:tc>
        <w:tc>
          <w:tcPr>
            <w:tcW w:w="1007" w:type="dxa"/>
            <w:noWrap/>
            <w:hideMark/>
          </w:tcPr>
          <w:p w:rsidR="00465BD3" w:rsidRPr="008761EA" w:rsidRDefault="00465BD3" w:rsidP="006825EE">
            <w:pPr>
              <w:jc w:val="right"/>
              <w:rPr>
                <w:bCs/>
                <w:sz w:val="20"/>
                <w:szCs w:val="20"/>
              </w:rPr>
            </w:pPr>
            <w:r w:rsidRPr="008761EA">
              <w:rPr>
                <w:bCs/>
                <w:sz w:val="20"/>
                <w:szCs w:val="20"/>
              </w:rPr>
              <w:t>117,</w:t>
            </w:r>
            <w:r w:rsidR="007F438F">
              <w:rPr>
                <w:bCs/>
                <w:sz w:val="20"/>
                <w:szCs w:val="20"/>
              </w:rPr>
              <w:t>0</w:t>
            </w:r>
            <w:r w:rsidRPr="008761EA">
              <w:rPr>
                <w:bCs/>
                <w:sz w:val="20"/>
                <w:szCs w:val="20"/>
              </w:rPr>
              <w:t>9%</w:t>
            </w:r>
          </w:p>
        </w:tc>
        <w:tc>
          <w:tcPr>
            <w:tcW w:w="1134" w:type="dxa"/>
            <w:noWrap/>
            <w:hideMark/>
          </w:tcPr>
          <w:p w:rsidR="00465BD3" w:rsidRPr="008761EA" w:rsidRDefault="007F438F" w:rsidP="006825EE">
            <w:pPr>
              <w:jc w:val="right"/>
              <w:rPr>
                <w:bCs/>
                <w:sz w:val="20"/>
                <w:szCs w:val="20"/>
              </w:rPr>
            </w:pPr>
            <w:r>
              <w:rPr>
                <w:bCs/>
                <w:sz w:val="20"/>
                <w:szCs w:val="20"/>
              </w:rPr>
              <w:t>91,91</w:t>
            </w:r>
            <w:r w:rsidR="00465BD3" w:rsidRPr="008761EA">
              <w:rPr>
                <w:bCs/>
                <w:sz w:val="20"/>
                <w:szCs w:val="20"/>
              </w:rPr>
              <w:t>%</w:t>
            </w:r>
          </w:p>
        </w:tc>
      </w:tr>
      <w:bookmarkEnd w:id="5"/>
    </w:tbl>
    <w:p w:rsidR="00465BD3" w:rsidRDefault="00465BD3" w:rsidP="00BF7333"/>
    <w:p w:rsidR="00BF7333" w:rsidRPr="00194692" w:rsidRDefault="00BF7333" w:rsidP="00BF7333">
      <w:r w:rsidRPr="00194692">
        <w:t xml:space="preserve">U strukturi rashoda poslovanja najveći udio od </w:t>
      </w:r>
      <w:r w:rsidR="007F438F">
        <w:t>37,74</w:t>
      </w:r>
      <w:r w:rsidRPr="00194692">
        <w:t xml:space="preserve">% čine </w:t>
      </w:r>
      <w:r w:rsidR="00A04F29">
        <w:t>rashodi za zaposlene</w:t>
      </w:r>
      <w:r w:rsidRPr="00194692">
        <w:t xml:space="preserve">, a slijede </w:t>
      </w:r>
      <w:r w:rsidR="00A04F29">
        <w:t>materijalni rashodi</w:t>
      </w:r>
      <w:r w:rsidRPr="00194692">
        <w:t xml:space="preserve"> s udjelom od </w:t>
      </w:r>
      <w:r w:rsidR="007F438F">
        <w:t>30,31</w:t>
      </w:r>
      <w:r w:rsidRPr="00194692">
        <w:t xml:space="preserve">% te </w:t>
      </w:r>
      <w:r w:rsidR="00A04F29">
        <w:rPr>
          <w:bCs/>
        </w:rPr>
        <w:t>r</w:t>
      </w:r>
      <w:r w:rsidR="00A04F29" w:rsidRPr="008761EA">
        <w:rPr>
          <w:bCs/>
        </w:rPr>
        <w:t>ashodi za donacije, kazne, naknade šteta i kapitalne pomoći</w:t>
      </w:r>
      <w:r w:rsidRPr="00194692">
        <w:t xml:space="preserve"> s udjelom od </w:t>
      </w:r>
      <w:r w:rsidR="007F438F">
        <w:t>24,83</w:t>
      </w:r>
      <w:r w:rsidRPr="00194692">
        <w:t>%.</w:t>
      </w:r>
    </w:p>
    <w:p w:rsidR="00BF7333" w:rsidRPr="00194692" w:rsidRDefault="00BF7333" w:rsidP="00BF7333"/>
    <w:p w:rsidR="007D4CC3" w:rsidRDefault="00C16C8A" w:rsidP="001F34DB">
      <w:r w:rsidRPr="008A7C66">
        <w:rPr>
          <w:b/>
          <w:u w:val="single"/>
        </w:rPr>
        <w:t xml:space="preserve">1. </w:t>
      </w:r>
      <w:r w:rsidR="00E71796" w:rsidRPr="008A7C66">
        <w:rPr>
          <w:b/>
          <w:u w:val="single"/>
        </w:rPr>
        <w:t>Rashodi za zaposlene (31)</w:t>
      </w:r>
      <w:r w:rsidR="00E71796" w:rsidRPr="00B33CA5">
        <w:t xml:space="preserve"> </w:t>
      </w:r>
    </w:p>
    <w:p w:rsidR="004354BA" w:rsidRDefault="004354BA" w:rsidP="00C00F7A">
      <w:pPr>
        <w:pStyle w:val="CommentText"/>
        <w:rPr>
          <w:sz w:val="24"/>
          <w:szCs w:val="24"/>
        </w:rPr>
      </w:pPr>
    </w:p>
    <w:p w:rsidR="00C00F7A" w:rsidRDefault="007D4CC3" w:rsidP="00C00F7A">
      <w:pPr>
        <w:pStyle w:val="CommentText"/>
        <w:rPr>
          <w:sz w:val="24"/>
          <w:szCs w:val="24"/>
        </w:rPr>
      </w:pPr>
      <w:r w:rsidRPr="00C00F7A">
        <w:rPr>
          <w:sz w:val="24"/>
          <w:szCs w:val="24"/>
        </w:rPr>
        <w:t xml:space="preserve">Rashodi za zaposlene u 2025. godine izvršeni su u iznosu od </w:t>
      </w:r>
      <w:r w:rsidR="008A6B3B">
        <w:rPr>
          <w:sz w:val="24"/>
          <w:szCs w:val="24"/>
        </w:rPr>
        <w:t>1.195.341,66</w:t>
      </w:r>
      <w:r w:rsidRPr="00C00F7A">
        <w:rPr>
          <w:sz w:val="24"/>
          <w:szCs w:val="24"/>
        </w:rPr>
        <w:t xml:space="preserve"> eura, što predstavlja </w:t>
      </w:r>
      <w:r w:rsidR="008A6B3B">
        <w:rPr>
          <w:sz w:val="24"/>
          <w:szCs w:val="24"/>
        </w:rPr>
        <w:t>98,97</w:t>
      </w:r>
      <w:r w:rsidRPr="00C00F7A">
        <w:rPr>
          <w:sz w:val="24"/>
          <w:szCs w:val="24"/>
        </w:rPr>
        <w:t xml:space="preserve">% planiranih rashoda za zaposlene. U odnosu na isto razdoblje prethodne godine povećani su za </w:t>
      </w:r>
      <w:r w:rsidR="008A6B3B">
        <w:rPr>
          <w:sz w:val="24"/>
          <w:szCs w:val="24"/>
        </w:rPr>
        <w:t>41,68</w:t>
      </w:r>
      <w:r w:rsidRPr="00C00F7A">
        <w:rPr>
          <w:sz w:val="24"/>
          <w:szCs w:val="24"/>
        </w:rPr>
        <w:t xml:space="preserve">% odnosno </w:t>
      </w:r>
      <w:r w:rsidR="008A6B3B">
        <w:rPr>
          <w:sz w:val="24"/>
          <w:szCs w:val="24"/>
        </w:rPr>
        <w:t>351.622,37</w:t>
      </w:r>
      <w:r w:rsidRPr="00C00F7A">
        <w:rPr>
          <w:sz w:val="24"/>
          <w:szCs w:val="24"/>
        </w:rPr>
        <w:t xml:space="preserve"> eura.</w:t>
      </w:r>
      <w:r w:rsidR="00C00F7A" w:rsidRPr="00C00F7A">
        <w:rPr>
          <w:sz w:val="24"/>
          <w:szCs w:val="24"/>
        </w:rPr>
        <w:t xml:space="preserve"> </w:t>
      </w:r>
    </w:p>
    <w:p w:rsidR="00B33CA5" w:rsidRDefault="007532C9" w:rsidP="00B33CA5">
      <w:pPr>
        <w:jc w:val="both"/>
        <w:rPr>
          <w:u w:val="single"/>
        </w:rPr>
      </w:pPr>
      <w:r>
        <w:t>Rashodi za zaposlene se s</w:t>
      </w:r>
      <w:r w:rsidR="00B33CA5">
        <w:t>astoje</w:t>
      </w:r>
      <w:r>
        <w:t xml:space="preserve"> </w:t>
      </w:r>
      <w:r w:rsidR="00B33CA5">
        <w:t xml:space="preserve">od </w:t>
      </w:r>
      <w:r w:rsidR="00B33CA5" w:rsidRPr="00BD1188">
        <w:rPr>
          <w:u w:val="single"/>
        </w:rPr>
        <w:t>bruto plaća</w:t>
      </w:r>
      <w:r w:rsidR="00B33CA5">
        <w:rPr>
          <w:u w:val="single"/>
        </w:rPr>
        <w:t xml:space="preserve"> (311)</w:t>
      </w:r>
      <w:r w:rsidR="00B33CA5" w:rsidRPr="00BD1188">
        <w:rPr>
          <w:u w:val="single"/>
        </w:rPr>
        <w:t>, doprinosa na plaće</w:t>
      </w:r>
      <w:r w:rsidR="00B33CA5">
        <w:rPr>
          <w:u w:val="single"/>
        </w:rPr>
        <w:t xml:space="preserve"> (313)</w:t>
      </w:r>
      <w:r w:rsidR="00B33CA5" w:rsidRPr="00BD1188">
        <w:rPr>
          <w:u w:val="single"/>
        </w:rPr>
        <w:t xml:space="preserve"> i ostalih rashoda za zaposlene</w:t>
      </w:r>
      <w:r w:rsidR="00B33CA5">
        <w:rPr>
          <w:u w:val="single"/>
        </w:rPr>
        <w:t xml:space="preserve"> (naknade zaposlenima) (312). </w:t>
      </w:r>
    </w:p>
    <w:p w:rsidR="00686931" w:rsidRDefault="00686931" w:rsidP="00B33CA5">
      <w:pPr>
        <w:rPr>
          <w:b/>
        </w:rPr>
      </w:pPr>
    </w:p>
    <w:p w:rsidR="00686931" w:rsidRDefault="00686931" w:rsidP="00B33CA5">
      <w:pPr>
        <w:rPr>
          <w:b/>
        </w:rPr>
      </w:pPr>
    </w:p>
    <w:p w:rsidR="00B33CA5" w:rsidRDefault="00B33CA5" w:rsidP="00B33CA5">
      <w:pPr>
        <w:rPr>
          <w:b/>
        </w:rPr>
      </w:pPr>
      <w:r w:rsidRPr="003D2567">
        <w:rPr>
          <w:b/>
        </w:rPr>
        <w:lastRenderedPageBreak/>
        <w:t>Tablica</w:t>
      </w:r>
      <w:r w:rsidR="00280536">
        <w:rPr>
          <w:b/>
        </w:rPr>
        <w:t xml:space="preserve"> 4</w:t>
      </w:r>
      <w:r w:rsidRPr="003D2567">
        <w:rPr>
          <w:b/>
        </w:rPr>
        <w:t>: Rashodi za zaposlene</w:t>
      </w:r>
      <w:r w:rsidR="0039742A">
        <w:rPr>
          <w:b/>
        </w:rPr>
        <w:t xml:space="preserve"> u 2024. i 2025. godini</w:t>
      </w:r>
      <w:r w:rsidR="00884339">
        <w:rPr>
          <w:b/>
        </w:rPr>
        <w:t xml:space="preserve"> (konto 31)</w:t>
      </w:r>
    </w:p>
    <w:p w:rsidR="00280536" w:rsidRPr="003D2567" w:rsidRDefault="00280536" w:rsidP="00B33CA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3356"/>
        <w:gridCol w:w="1785"/>
        <w:gridCol w:w="1617"/>
        <w:gridCol w:w="1418"/>
      </w:tblGrid>
      <w:tr w:rsidR="00884339" w:rsidRPr="00477BA0" w:rsidTr="00884339">
        <w:tc>
          <w:tcPr>
            <w:tcW w:w="750" w:type="dxa"/>
          </w:tcPr>
          <w:p w:rsidR="00B60456" w:rsidRPr="00477BA0" w:rsidRDefault="00B60456" w:rsidP="00280536">
            <w:pPr>
              <w:rPr>
                <w:b/>
              </w:rPr>
            </w:pPr>
            <w:r w:rsidRPr="00477BA0">
              <w:rPr>
                <w:b/>
              </w:rPr>
              <w:t>R.br.</w:t>
            </w:r>
          </w:p>
        </w:tc>
        <w:tc>
          <w:tcPr>
            <w:tcW w:w="3356" w:type="dxa"/>
          </w:tcPr>
          <w:p w:rsidR="00B60456" w:rsidRPr="00477BA0" w:rsidRDefault="00B60456" w:rsidP="00280536">
            <w:pPr>
              <w:jc w:val="right"/>
              <w:rPr>
                <w:b/>
              </w:rPr>
            </w:pPr>
            <w:r w:rsidRPr="00477BA0">
              <w:rPr>
                <w:b/>
              </w:rPr>
              <w:t>Proračun/Pror.korisnik</w:t>
            </w:r>
          </w:p>
        </w:tc>
        <w:tc>
          <w:tcPr>
            <w:tcW w:w="1785" w:type="dxa"/>
          </w:tcPr>
          <w:p w:rsidR="00B60456" w:rsidRDefault="00B60456" w:rsidP="00280536">
            <w:pPr>
              <w:jc w:val="center"/>
              <w:rPr>
                <w:b/>
              </w:rPr>
            </w:pPr>
            <w:r w:rsidRPr="00477BA0">
              <w:rPr>
                <w:b/>
              </w:rPr>
              <w:t>Ukupno rashodi za zaposlene</w:t>
            </w:r>
          </w:p>
          <w:p w:rsidR="00B60456" w:rsidRPr="00477BA0" w:rsidRDefault="008A6B3B" w:rsidP="00280536">
            <w:pPr>
              <w:jc w:val="center"/>
              <w:rPr>
                <w:b/>
              </w:rPr>
            </w:pPr>
            <w:r>
              <w:rPr>
                <w:b/>
              </w:rPr>
              <w:t>20</w:t>
            </w:r>
            <w:r w:rsidR="00B60456">
              <w:rPr>
                <w:b/>
              </w:rPr>
              <w:t>24</w:t>
            </w:r>
            <w:r>
              <w:rPr>
                <w:b/>
              </w:rPr>
              <w:t>.</w:t>
            </w:r>
          </w:p>
        </w:tc>
        <w:tc>
          <w:tcPr>
            <w:tcW w:w="1617" w:type="dxa"/>
          </w:tcPr>
          <w:p w:rsidR="00B60456" w:rsidRDefault="00B60456" w:rsidP="00280536">
            <w:pPr>
              <w:jc w:val="center"/>
              <w:rPr>
                <w:b/>
              </w:rPr>
            </w:pPr>
            <w:r w:rsidRPr="00477BA0">
              <w:rPr>
                <w:b/>
              </w:rPr>
              <w:t>Ukupno rashodi za zaposlene</w:t>
            </w:r>
          </w:p>
          <w:p w:rsidR="00B60456" w:rsidRPr="00477BA0" w:rsidRDefault="008A6B3B" w:rsidP="00280536">
            <w:pPr>
              <w:jc w:val="center"/>
              <w:rPr>
                <w:b/>
              </w:rPr>
            </w:pPr>
            <w:r>
              <w:rPr>
                <w:b/>
              </w:rPr>
              <w:t>20</w:t>
            </w:r>
            <w:r w:rsidR="00B60456">
              <w:rPr>
                <w:b/>
              </w:rPr>
              <w:t>25</w:t>
            </w:r>
            <w:r>
              <w:rPr>
                <w:b/>
              </w:rPr>
              <w:t>.</w:t>
            </w:r>
          </w:p>
        </w:tc>
        <w:tc>
          <w:tcPr>
            <w:tcW w:w="1418" w:type="dxa"/>
          </w:tcPr>
          <w:p w:rsidR="00B60456" w:rsidRPr="00477BA0" w:rsidRDefault="00B60456" w:rsidP="00280536">
            <w:pPr>
              <w:jc w:val="center"/>
              <w:rPr>
                <w:b/>
              </w:rPr>
            </w:pPr>
            <w:r>
              <w:rPr>
                <w:b/>
              </w:rPr>
              <w:t>Indeks 2/1</w:t>
            </w:r>
          </w:p>
        </w:tc>
      </w:tr>
      <w:tr w:rsidR="00884339" w:rsidRPr="00477BA0" w:rsidTr="00884339">
        <w:tc>
          <w:tcPr>
            <w:tcW w:w="750" w:type="dxa"/>
          </w:tcPr>
          <w:p w:rsidR="00B60456" w:rsidRPr="00477BA0" w:rsidRDefault="00B60456" w:rsidP="00280536">
            <w:pPr>
              <w:rPr>
                <w:b/>
              </w:rPr>
            </w:pPr>
          </w:p>
        </w:tc>
        <w:tc>
          <w:tcPr>
            <w:tcW w:w="3356" w:type="dxa"/>
          </w:tcPr>
          <w:p w:rsidR="00B60456" w:rsidRPr="00477BA0" w:rsidRDefault="00B60456" w:rsidP="00280536">
            <w:pPr>
              <w:jc w:val="right"/>
              <w:rPr>
                <w:b/>
              </w:rPr>
            </w:pPr>
          </w:p>
        </w:tc>
        <w:tc>
          <w:tcPr>
            <w:tcW w:w="1785" w:type="dxa"/>
          </w:tcPr>
          <w:p w:rsidR="00B60456" w:rsidRPr="00477BA0" w:rsidRDefault="00B60456" w:rsidP="00280536">
            <w:pPr>
              <w:jc w:val="center"/>
              <w:rPr>
                <w:b/>
              </w:rPr>
            </w:pPr>
            <w:r>
              <w:rPr>
                <w:b/>
              </w:rPr>
              <w:t>1</w:t>
            </w:r>
          </w:p>
        </w:tc>
        <w:tc>
          <w:tcPr>
            <w:tcW w:w="1617" w:type="dxa"/>
          </w:tcPr>
          <w:p w:rsidR="00B60456" w:rsidRPr="00477BA0" w:rsidRDefault="00B60456" w:rsidP="00280536">
            <w:pPr>
              <w:jc w:val="center"/>
              <w:rPr>
                <w:b/>
              </w:rPr>
            </w:pPr>
            <w:r>
              <w:rPr>
                <w:b/>
              </w:rPr>
              <w:t>2</w:t>
            </w:r>
          </w:p>
        </w:tc>
        <w:tc>
          <w:tcPr>
            <w:tcW w:w="1418" w:type="dxa"/>
          </w:tcPr>
          <w:p w:rsidR="00B60456" w:rsidRDefault="00B60456" w:rsidP="00280536">
            <w:pPr>
              <w:jc w:val="center"/>
              <w:rPr>
                <w:b/>
              </w:rPr>
            </w:pPr>
            <w:r>
              <w:rPr>
                <w:b/>
              </w:rPr>
              <w:t>3</w:t>
            </w:r>
          </w:p>
        </w:tc>
      </w:tr>
      <w:tr w:rsidR="00884339" w:rsidTr="00884339">
        <w:tc>
          <w:tcPr>
            <w:tcW w:w="750" w:type="dxa"/>
          </w:tcPr>
          <w:p w:rsidR="00B60456" w:rsidRPr="00560F60" w:rsidRDefault="00B60456" w:rsidP="000C1E51">
            <w:r>
              <w:t>1.</w:t>
            </w:r>
          </w:p>
        </w:tc>
        <w:tc>
          <w:tcPr>
            <w:tcW w:w="3356" w:type="dxa"/>
          </w:tcPr>
          <w:p w:rsidR="00B60456" w:rsidRPr="00560F60" w:rsidRDefault="00B60456" w:rsidP="00E45ACA">
            <w:pPr>
              <w:jc w:val="right"/>
            </w:pPr>
            <w:r>
              <w:t>Općina V.Luka</w:t>
            </w:r>
            <w:r w:rsidR="00E45ACA">
              <w:t xml:space="preserve"> </w:t>
            </w:r>
            <w:r>
              <w:t>-</w:t>
            </w:r>
            <w:r w:rsidR="00E45ACA">
              <w:t xml:space="preserve"> </w:t>
            </w:r>
            <w:r>
              <w:t>služb</w:t>
            </w:r>
            <w:r w:rsidR="00E45ACA">
              <w:t xml:space="preserve">enici i </w:t>
            </w:r>
            <w:r>
              <w:t>namješt</w:t>
            </w:r>
            <w:r w:rsidR="00E45ACA">
              <w:t>enici</w:t>
            </w:r>
          </w:p>
        </w:tc>
        <w:tc>
          <w:tcPr>
            <w:tcW w:w="1785" w:type="dxa"/>
          </w:tcPr>
          <w:p w:rsidR="00B60456" w:rsidRDefault="008A6B3B" w:rsidP="000C1E51">
            <w:pPr>
              <w:jc w:val="right"/>
            </w:pPr>
            <w:r>
              <w:t>290.146,48</w:t>
            </w:r>
          </w:p>
        </w:tc>
        <w:tc>
          <w:tcPr>
            <w:tcW w:w="1617" w:type="dxa"/>
          </w:tcPr>
          <w:p w:rsidR="00B60456" w:rsidRDefault="00E45ACA" w:rsidP="000C1E51">
            <w:pPr>
              <w:jc w:val="right"/>
            </w:pPr>
            <w:r>
              <w:t>378.840,62</w:t>
            </w:r>
          </w:p>
          <w:p w:rsidR="00347386" w:rsidRDefault="00347386" w:rsidP="000C1E51">
            <w:pPr>
              <w:jc w:val="right"/>
            </w:pPr>
          </w:p>
        </w:tc>
        <w:tc>
          <w:tcPr>
            <w:tcW w:w="1418" w:type="dxa"/>
          </w:tcPr>
          <w:p w:rsidR="00B60456" w:rsidRDefault="00B60456" w:rsidP="000C1E51">
            <w:pPr>
              <w:jc w:val="right"/>
            </w:pPr>
            <w:r>
              <w:t>13</w:t>
            </w:r>
            <w:r w:rsidR="00E45ACA">
              <w:t>0,57</w:t>
            </w:r>
            <w:r w:rsidR="00D20D05">
              <w:t>%</w:t>
            </w:r>
          </w:p>
        </w:tc>
      </w:tr>
      <w:tr w:rsidR="00884339" w:rsidTr="00884339">
        <w:tc>
          <w:tcPr>
            <w:tcW w:w="750" w:type="dxa"/>
            <w:tcBorders>
              <w:top w:val="single" w:sz="4" w:space="0" w:color="auto"/>
              <w:left w:val="single" w:sz="4" w:space="0" w:color="auto"/>
              <w:bottom w:val="single" w:sz="4" w:space="0" w:color="auto"/>
              <w:right w:val="single" w:sz="4" w:space="0" w:color="auto"/>
            </w:tcBorders>
          </w:tcPr>
          <w:p w:rsidR="00B60456" w:rsidRPr="00560F60" w:rsidRDefault="00B60456" w:rsidP="000C1E51">
            <w:r>
              <w:t>2.</w:t>
            </w:r>
          </w:p>
        </w:tc>
        <w:tc>
          <w:tcPr>
            <w:tcW w:w="3356" w:type="dxa"/>
            <w:tcBorders>
              <w:top w:val="single" w:sz="4" w:space="0" w:color="auto"/>
              <w:left w:val="single" w:sz="4" w:space="0" w:color="auto"/>
              <w:bottom w:val="single" w:sz="4" w:space="0" w:color="auto"/>
              <w:right w:val="single" w:sz="4" w:space="0" w:color="auto"/>
            </w:tcBorders>
          </w:tcPr>
          <w:p w:rsidR="00B60456" w:rsidRPr="00560F60" w:rsidRDefault="00B60456" w:rsidP="00E45ACA">
            <w:pPr>
              <w:jc w:val="right"/>
            </w:pPr>
            <w:r>
              <w:t>Općina V.Luka</w:t>
            </w:r>
            <w:r w:rsidR="00E45ACA">
              <w:t xml:space="preserve"> </w:t>
            </w:r>
            <w:r>
              <w:t>-Načelnica</w:t>
            </w:r>
          </w:p>
        </w:tc>
        <w:tc>
          <w:tcPr>
            <w:tcW w:w="1785" w:type="dxa"/>
            <w:tcBorders>
              <w:top w:val="single" w:sz="4" w:space="0" w:color="auto"/>
              <w:left w:val="single" w:sz="4" w:space="0" w:color="auto"/>
              <w:bottom w:val="single" w:sz="4" w:space="0" w:color="auto"/>
              <w:right w:val="single" w:sz="4" w:space="0" w:color="auto"/>
            </w:tcBorders>
          </w:tcPr>
          <w:p w:rsidR="00B60456" w:rsidRDefault="008A6B3B" w:rsidP="000C1E51">
            <w:pPr>
              <w:jc w:val="right"/>
            </w:pPr>
            <w:r>
              <w:t>36.809,92</w:t>
            </w:r>
          </w:p>
        </w:tc>
        <w:tc>
          <w:tcPr>
            <w:tcW w:w="1617" w:type="dxa"/>
            <w:tcBorders>
              <w:top w:val="single" w:sz="4" w:space="0" w:color="auto"/>
              <w:left w:val="single" w:sz="4" w:space="0" w:color="auto"/>
              <w:bottom w:val="single" w:sz="4" w:space="0" w:color="auto"/>
              <w:right w:val="single" w:sz="4" w:space="0" w:color="auto"/>
            </w:tcBorders>
          </w:tcPr>
          <w:p w:rsidR="00B60456" w:rsidRDefault="00884339" w:rsidP="000C1E51">
            <w:pPr>
              <w:jc w:val="right"/>
            </w:pPr>
            <w:r>
              <w:t>48.131,35</w:t>
            </w:r>
          </w:p>
        </w:tc>
        <w:tc>
          <w:tcPr>
            <w:tcW w:w="1418" w:type="dxa"/>
            <w:tcBorders>
              <w:top w:val="single" w:sz="4" w:space="0" w:color="auto"/>
              <w:left w:val="single" w:sz="4" w:space="0" w:color="auto"/>
              <w:bottom w:val="single" w:sz="4" w:space="0" w:color="auto"/>
              <w:right w:val="single" w:sz="4" w:space="0" w:color="auto"/>
            </w:tcBorders>
          </w:tcPr>
          <w:p w:rsidR="00B60456" w:rsidRDefault="00B60456" w:rsidP="000C1E51">
            <w:pPr>
              <w:jc w:val="right"/>
            </w:pPr>
            <w:r>
              <w:t>13</w:t>
            </w:r>
            <w:r w:rsidR="00884339">
              <w:t>0</w:t>
            </w:r>
            <w:r>
              <w:t>,</w:t>
            </w:r>
            <w:r w:rsidR="00884339">
              <w:t>76</w:t>
            </w:r>
            <w:r w:rsidR="00D20D05">
              <w:t>%</w:t>
            </w:r>
          </w:p>
        </w:tc>
      </w:tr>
      <w:tr w:rsidR="00884339" w:rsidRPr="00B33CA5" w:rsidTr="00884339">
        <w:tc>
          <w:tcPr>
            <w:tcW w:w="750" w:type="dxa"/>
          </w:tcPr>
          <w:p w:rsidR="00B60456" w:rsidRPr="00B33CA5" w:rsidRDefault="00B60456" w:rsidP="000C1E51">
            <w:pPr>
              <w:rPr>
                <w:b/>
              </w:rPr>
            </w:pPr>
          </w:p>
        </w:tc>
        <w:tc>
          <w:tcPr>
            <w:tcW w:w="3356" w:type="dxa"/>
          </w:tcPr>
          <w:p w:rsidR="00B60456" w:rsidRPr="00B33CA5" w:rsidRDefault="00B60456" w:rsidP="000C1E51">
            <w:pPr>
              <w:jc w:val="right"/>
              <w:rPr>
                <w:b/>
              </w:rPr>
            </w:pPr>
            <w:r w:rsidRPr="00B33CA5">
              <w:rPr>
                <w:b/>
              </w:rPr>
              <w:t>Zaposlenici Općine</w:t>
            </w:r>
          </w:p>
        </w:tc>
        <w:tc>
          <w:tcPr>
            <w:tcW w:w="1785" w:type="dxa"/>
          </w:tcPr>
          <w:p w:rsidR="00B60456" w:rsidRPr="00B33CA5" w:rsidRDefault="008A6B3B" w:rsidP="000C1E51">
            <w:pPr>
              <w:jc w:val="right"/>
              <w:rPr>
                <w:b/>
              </w:rPr>
            </w:pPr>
            <w:r>
              <w:rPr>
                <w:b/>
              </w:rPr>
              <w:t>326.956,40</w:t>
            </w:r>
          </w:p>
        </w:tc>
        <w:tc>
          <w:tcPr>
            <w:tcW w:w="1617" w:type="dxa"/>
          </w:tcPr>
          <w:p w:rsidR="00B60456" w:rsidRDefault="00E45ACA" w:rsidP="000C1E51">
            <w:pPr>
              <w:jc w:val="right"/>
              <w:rPr>
                <w:b/>
              </w:rPr>
            </w:pPr>
            <w:r>
              <w:rPr>
                <w:b/>
              </w:rPr>
              <w:t>426.971,97</w:t>
            </w:r>
          </w:p>
        </w:tc>
        <w:tc>
          <w:tcPr>
            <w:tcW w:w="1418" w:type="dxa"/>
          </w:tcPr>
          <w:p w:rsidR="00B60456" w:rsidRDefault="00B60456" w:rsidP="000C1E51">
            <w:pPr>
              <w:jc w:val="right"/>
              <w:rPr>
                <w:b/>
              </w:rPr>
            </w:pPr>
            <w:r>
              <w:rPr>
                <w:b/>
              </w:rPr>
              <w:t>13</w:t>
            </w:r>
            <w:r w:rsidR="00E45ACA">
              <w:rPr>
                <w:b/>
              </w:rPr>
              <w:t>0</w:t>
            </w:r>
            <w:r>
              <w:rPr>
                <w:b/>
              </w:rPr>
              <w:t>,</w:t>
            </w:r>
            <w:r w:rsidR="00E45ACA">
              <w:rPr>
                <w:b/>
              </w:rPr>
              <w:t>59</w:t>
            </w:r>
            <w:r w:rsidR="00D20D05">
              <w:rPr>
                <w:b/>
              </w:rPr>
              <w:t>%</w:t>
            </w:r>
          </w:p>
        </w:tc>
      </w:tr>
      <w:tr w:rsidR="00884339" w:rsidTr="00884339">
        <w:tc>
          <w:tcPr>
            <w:tcW w:w="750" w:type="dxa"/>
            <w:tcBorders>
              <w:top w:val="single" w:sz="4" w:space="0" w:color="auto"/>
              <w:left w:val="single" w:sz="4" w:space="0" w:color="auto"/>
              <w:bottom w:val="single" w:sz="4" w:space="0" w:color="auto"/>
              <w:right w:val="single" w:sz="4" w:space="0" w:color="auto"/>
            </w:tcBorders>
          </w:tcPr>
          <w:p w:rsidR="00B60456" w:rsidRPr="00560F60" w:rsidRDefault="00B60456" w:rsidP="000C1E51">
            <w:r>
              <w:t>3.</w:t>
            </w:r>
          </w:p>
        </w:tc>
        <w:tc>
          <w:tcPr>
            <w:tcW w:w="3356" w:type="dxa"/>
            <w:tcBorders>
              <w:top w:val="single" w:sz="4" w:space="0" w:color="auto"/>
              <w:left w:val="single" w:sz="4" w:space="0" w:color="auto"/>
              <w:bottom w:val="single" w:sz="4" w:space="0" w:color="auto"/>
              <w:right w:val="single" w:sz="4" w:space="0" w:color="auto"/>
            </w:tcBorders>
          </w:tcPr>
          <w:p w:rsidR="00B60456" w:rsidRPr="00560F60" w:rsidRDefault="00B60456" w:rsidP="00884339">
            <w:pPr>
              <w:jc w:val="right"/>
            </w:pPr>
            <w:r>
              <w:t>Općina</w:t>
            </w:r>
            <w:r w:rsidR="00884339">
              <w:t xml:space="preserve"> </w:t>
            </w:r>
            <w:r>
              <w:t>-zaposleni na Projektu „Zaželi-nisi sam“</w:t>
            </w:r>
          </w:p>
        </w:tc>
        <w:tc>
          <w:tcPr>
            <w:tcW w:w="1785" w:type="dxa"/>
            <w:tcBorders>
              <w:top w:val="single" w:sz="4" w:space="0" w:color="auto"/>
              <w:left w:val="single" w:sz="4" w:space="0" w:color="auto"/>
              <w:bottom w:val="single" w:sz="4" w:space="0" w:color="auto"/>
              <w:right w:val="single" w:sz="4" w:space="0" w:color="auto"/>
            </w:tcBorders>
          </w:tcPr>
          <w:p w:rsidR="00B60456" w:rsidRDefault="008A6B3B" w:rsidP="000C1E51">
            <w:pPr>
              <w:jc w:val="right"/>
            </w:pPr>
            <w:r>
              <w:t>66.311,94</w:t>
            </w:r>
          </w:p>
        </w:tc>
        <w:tc>
          <w:tcPr>
            <w:tcW w:w="1617" w:type="dxa"/>
            <w:tcBorders>
              <w:top w:val="single" w:sz="4" w:space="0" w:color="auto"/>
              <w:left w:val="single" w:sz="4" w:space="0" w:color="auto"/>
              <w:bottom w:val="single" w:sz="4" w:space="0" w:color="auto"/>
              <w:right w:val="single" w:sz="4" w:space="0" w:color="auto"/>
            </w:tcBorders>
          </w:tcPr>
          <w:p w:rsidR="00B60456" w:rsidRDefault="00884339" w:rsidP="000C1E51">
            <w:pPr>
              <w:jc w:val="right"/>
            </w:pPr>
            <w:r>
              <w:t>175.344,87</w:t>
            </w:r>
          </w:p>
        </w:tc>
        <w:tc>
          <w:tcPr>
            <w:tcW w:w="1418" w:type="dxa"/>
            <w:tcBorders>
              <w:top w:val="single" w:sz="4" w:space="0" w:color="auto"/>
              <w:left w:val="single" w:sz="4" w:space="0" w:color="auto"/>
              <w:bottom w:val="single" w:sz="4" w:space="0" w:color="auto"/>
              <w:right w:val="single" w:sz="4" w:space="0" w:color="auto"/>
            </w:tcBorders>
          </w:tcPr>
          <w:p w:rsidR="00B60456" w:rsidRDefault="00884339" w:rsidP="000C1E51">
            <w:pPr>
              <w:jc w:val="right"/>
            </w:pPr>
            <w:r>
              <w:t>264,42</w:t>
            </w:r>
            <w:r w:rsidR="00D20D05">
              <w:t>%</w:t>
            </w:r>
          </w:p>
        </w:tc>
      </w:tr>
      <w:tr w:rsidR="00884339" w:rsidRPr="00B33CA5" w:rsidTr="00884339">
        <w:tc>
          <w:tcPr>
            <w:tcW w:w="750" w:type="dxa"/>
          </w:tcPr>
          <w:p w:rsidR="00884339" w:rsidRPr="00B33CA5" w:rsidRDefault="00884339" w:rsidP="00884339">
            <w:pPr>
              <w:rPr>
                <w:b/>
              </w:rPr>
            </w:pPr>
          </w:p>
        </w:tc>
        <w:tc>
          <w:tcPr>
            <w:tcW w:w="3356" w:type="dxa"/>
          </w:tcPr>
          <w:p w:rsidR="00884339" w:rsidRPr="0019031E" w:rsidRDefault="00884339" w:rsidP="00884339">
            <w:pPr>
              <w:jc w:val="right"/>
              <w:rPr>
                <w:b/>
              </w:rPr>
            </w:pPr>
            <w:r w:rsidRPr="0019031E">
              <w:rPr>
                <w:b/>
              </w:rPr>
              <w:t>Zaposleni na Općinskim</w:t>
            </w:r>
            <w:r>
              <w:rPr>
                <w:b/>
              </w:rPr>
              <w:t xml:space="preserve"> </w:t>
            </w:r>
            <w:r w:rsidRPr="0019031E">
              <w:rPr>
                <w:b/>
              </w:rPr>
              <w:t>projektima</w:t>
            </w:r>
          </w:p>
        </w:tc>
        <w:tc>
          <w:tcPr>
            <w:tcW w:w="1785" w:type="dxa"/>
          </w:tcPr>
          <w:p w:rsidR="00884339" w:rsidRPr="00B33CA5" w:rsidRDefault="00884339" w:rsidP="00884339">
            <w:pPr>
              <w:jc w:val="right"/>
              <w:rPr>
                <w:b/>
              </w:rPr>
            </w:pPr>
            <w:r>
              <w:rPr>
                <w:b/>
              </w:rPr>
              <w:t>66.311,94</w:t>
            </w:r>
          </w:p>
        </w:tc>
        <w:tc>
          <w:tcPr>
            <w:tcW w:w="1617" w:type="dxa"/>
          </w:tcPr>
          <w:p w:rsidR="00884339" w:rsidRDefault="00884339" w:rsidP="00884339">
            <w:pPr>
              <w:jc w:val="right"/>
              <w:rPr>
                <w:b/>
              </w:rPr>
            </w:pPr>
            <w:r>
              <w:rPr>
                <w:b/>
              </w:rPr>
              <w:t>175.344,87</w:t>
            </w:r>
          </w:p>
        </w:tc>
        <w:tc>
          <w:tcPr>
            <w:tcW w:w="1418" w:type="dxa"/>
          </w:tcPr>
          <w:p w:rsidR="00884339" w:rsidRDefault="00884339" w:rsidP="00884339">
            <w:pPr>
              <w:jc w:val="right"/>
              <w:rPr>
                <w:b/>
              </w:rPr>
            </w:pPr>
            <w:r>
              <w:rPr>
                <w:b/>
              </w:rPr>
              <w:t>264,42%</w:t>
            </w:r>
          </w:p>
        </w:tc>
      </w:tr>
      <w:tr w:rsidR="00884339" w:rsidRPr="00B33CA5" w:rsidTr="00884339">
        <w:tc>
          <w:tcPr>
            <w:tcW w:w="750" w:type="dxa"/>
          </w:tcPr>
          <w:p w:rsidR="00884339" w:rsidRPr="00B33CA5" w:rsidRDefault="00884339" w:rsidP="00884339">
            <w:pPr>
              <w:rPr>
                <w:b/>
              </w:rPr>
            </w:pPr>
          </w:p>
        </w:tc>
        <w:tc>
          <w:tcPr>
            <w:tcW w:w="3356" w:type="dxa"/>
          </w:tcPr>
          <w:p w:rsidR="00884339" w:rsidRPr="00A56CAF" w:rsidRDefault="00884339" w:rsidP="00884339">
            <w:pPr>
              <w:jc w:val="right"/>
              <w:rPr>
                <w:b/>
              </w:rPr>
            </w:pPr>
            <w:r w:rsidRPr="00A56CAF">
              <w:rPr>
                <w:b/>
              </w:rPr>
              <w:t>UKUPNO</w:t>
            </w:r>
            <w:r>
              <w:rPr>
                <w:b/>
              </w:rPr>
              <w:t xml:space="preserve"> ZAPOSLENICI OPĆINE</w:t>
            </w:r>
          </w:p>
        </w:tc>
        <w:tc>
          <w:tcPr>
            <w:tcW w:w="1785" w:type="dxa"/>
          </w:tcPr>
          <w:p w:rsidR="00884339" w:rsidRDefault="00884339" w:rsidP="00884339">
            <w:pPr>
              <w:jc w:val="right"/>
              <w:rPr>
                <w:b/>
              </w:rPr>
            </w:pPr>
            <w:r>
              <w:rPr>
                <w:b/>
              </w:rPr>
              <w:t>393.268,34</w:t>
            </w:r>
          </w:p>
        </w:tc>
        <w:tc>
          <w:tcPr>
            <w:tcW w:w="1617" w:type="dxa"/>
          </w:tcPr>
          <w:p w:rsidR="00884339" w:rsidRDefault="00E45ACA" w:rsidP="00884339">
            <w:pPr>
              <w:jc w:val="right"/>
              <w:rPr>
                <w:b/>
              </w:rPr>
            </w:pPr>
            <w:r>
              <w:rPr>
                <w:b/>
              </w:rPr>
              <w:t>602.316,84</w:t>
            </w:r>
          </w:p>
        </w:tc>
        <w:tc>
          <w:tcPr>
            <w:tcW w:w="1418" w:type="dxa"/>
          </w:tcPr>
          <w:p w:rsidR="00884339" w:rsidRDefault="00E45ACA" w:rsidP="00884339">
            <w:pPr>
              <w:jc w:val="right"/>
              <w:rPr>
                <w:b/>
              </w:rPr>
            </w:pPr>
            <w:r>
              <w:rPr>
                <w:b/>
              </w:rPr>
              <w:t>153,16%</w:t>
            </w:r>
          </w:p>
        </w:tc>
      </w:tr>
      <w:tr w:rsidR="00884339" w:rsidTr="00884339">
        <w:tc>
          <w:tcPr>
            <w:tcW w:w="750" w:type="dxa"/>
          </w:tcPr>
          <w:p w:rsidR="00884339" w:rsidRPr="00560F60" w:rsidRDefault="00884339" w:rsidP="00884339">
            <w:r>
              <w:t>4.</w:t>
            </w:r>
          </w:p>
        </w:tc>
        <w:tc>
          <w:tcPr>
            <w:tcW w:w="3356" w:type="dxa"/>
          </w:tcPr>
          <w:p w:rsidR="00884339" w:rsidRPr="00560F60" w:rsidRDefault="00884339" w:rsidP="00884339">
            <w:pPr>
              <w:jc w:val="right"/>
            </w:pPr>
            <w:r>
              <w:t xml:space="preserve">CZK V. Luka -služb. i </w:t>
            </w:r>
            <w:r w:rsidR="00E45ACA">
              <w:t>n</w:t>
            </w:r>
            <w:r>
              <w:t>amješt.</w:t>
            </w:r>
          </w:p>
        </w:tc>
        <w:tc>
          <w:tcPr>
            <w:tcW w:w="1785" w:type="dxa"/>
          </w:tcPr>
          <w:p w:rsidR="00884339" w:rsidRPr="007D0FCF" w:rsidRDefault="00884339" w:rsidP="00884339">
            <w:pPr>
              <w:jc w:val="right"/>
            </w:pPr>
            <w:r>
              <w:t>58.150,81</w:t>
            </w:r>
          </w:p>
        </w:tc>
        <w:tc>
          <w:tcPr>
            <w:tcW w:w="1617" w:type="dxa"/>
          </w:tcPr>
          <w:p w:rsidR="00884339" w:rsidRDefault="00E45ACA" w:rsidP="00884339">
            <w:pPr>
              <w:jc w:val="right"/>
            </w:pPr>
            <w:r>
              <w:t>50.155,32</w:t>
            </w:r>
          </w:p>
        </w:tc>
        <w:tc>
          <w:tcPr>
            <w:tcW w:w="1418" w:type="dxa"/>
          </w:tcPr>
          <w:p w:rsidR="00884339" w:rsidRDefault="00E45ACA" w:rsidP="00884339">
            <w:pPr>
              <w:jc w:val="right"/>
            </w:pPr>
            <w:r>
              <w:t>86,25</w:t>
            </w:r>
            <w:r w:rsidR="00884339">
              <w:t>%</w:t>
            </w:r>
          </w:p>
        </w:tc>
      </w:tr>
      <w:tr w:rsidR="00884339" w:rsidRPr="00560F60" w:rsidTr="00884339">
        <w:tc>
          <w:tcPr>
            <w:tcW w:w="750" w:type="dxa"/>
          </w:tcPr>
          <w:p w:rsidR="00884339" w:rsidRPr="00560F60" w:rsidRDefault="00884339" w:rsidP="00884339">
            <w:r>
              <w:t>5.</w:t>
            </w:r>
          </w:p>
        </w:tc>
        <w:tc>
          <w:tcPr>
            <w:tcW w:w="3356" w:type="dxa"/>
          </w:tcPr>
          <w:p w:rsidR="00884339" w:rsidRPr="00560F60" w:rsidRDefault="00884339" w:rsidP="00884339">
            <w:pPr>
              <w:jc w:val="right"/>
            </w:pPr>
            <w:r>
              <w:t>DV Radost V. Luka</w:t>
            </w:r>
          </w:p>
        </w:tc>
        <w:tc>
          <w:tcPr>
            <w:tcW w:w="1785" w:type="dxa"/>
          </w:tcPr>
          <w:p w:rsidR="00884339" w:rsidRDefault="00884339" w:rsidP="00884339">
            <w:pPr>
              <w:jc w:val="right"/>
            </w:pPr>
            <w:r>
              <w:t>364.253,96</w:t>
            </w:r>
          </w:p>
        </w:tc>
        <w:tc>
          <w:tcPr>
            <w:tcW w:w="1617" w:type="dxa"/>
          </w:tcPr>
          <w:p w:rsidR="00884339" w:rsidRDefault="00E45ACA" w:rsidP="00884339">
            <w:pPr>
              <w:jc w:val="right"/>
            </w:pPr>
            <w:r>
              <w:t>506.338,22</w:t>
            </w:r>
          </w:p>
        </w:tc>
        <w:tc>
          <w:tcPr>
            <w:tcW w:w="1418" w:type="dxa"/>
          </w:tcPr>
          <w:p w:rsidR="00884339" w:rsidRDefault="00884339" w:rsidP="00884339">
            <w:pPr>
              <w:jc w:val="right"/>
            </w:pPr>
            <w:r>
              <w:t>13</w:t>
            </w:r>
            <w:r w:rsidR="00E45ACA">
              <w:t>9</w:t>
            </w:r>
            <w:r>
              <w:t>,</w:t>
            </w:r>
            <w:r w:rsidR="00E45ACA">
              <w:t>01</w:t>
            </w:r>
            <w:r>
              <w:t>%</w:t>
            </w:r>
          </w:p>
        </w:tc>
      </w:tr>
      <w:tr w:rsidR="00884339" w:rsidRPr="00560F60" w:rsidTr="00884339">
        <w:tc>
          <w:tcPr>
            <w:tcW w:w="750" w:type="dxa"/>
          </w:tcPr>
          <w:p w:rsidR="00884339" w:rsidRDefault="00884339" w:rsidP="00884339">
            <w:r>
              <w:t>6.</w:t>
            </w:r>
          </w:p>
        </w:tc>
        <w:tc>
          <w:tcPr>
            <w:tcW w:w="3356" w:type="dxa"/>
          </w:tcPr>
          <w:p w:rsidR="00884339" w:rsidRDefault="00884339" w:rsidP="00884339">
            <w:pPr>
              <w:jc w:val="right"/>
            </w:pPr>
            <w:r>
              <w:t>NK „Šime Vučetić“</w:t>
            </w:r>
          </w:p>
        </w:tc>
        <w:tc>
          <w:tcPr>
            <w:tcW w:w="1785" w:type="dxa"/>
          </w:tcPr>
          <w:p w:rsidR="00884339" w:rsidRDefault="00884339" w:rsidP="00884339">
            <w:pPr>
              <w:jc w:val="right"/>
            </w:pPr>
            <w:r>
              <w:t>28.046,18</w:t>
            </w:r>
          </w:p>
        </w:tc>
        <w:tc>
          <w:tcPr>
            <w:tcW w:w="1617" w:type="dxa"/>
          </w:tcPr>
          <w:p w:rsidR="00884339" w:rsidRDefault="00E45ACA" w:rsidP="00884339">
            <w:pPr>
              <w:jc w:val="right"/>
            </w:pPr>
            <w:r>
              <w:t>36.531,28</w:t>
            </w:r>
          </w:p>
        </w:tc>
        <w:tc>
          <w:tcPr>
            <w:tcW w:w="1418" w:type="dxa"/>
          </w:tcPr>
          <w:p w:rsidR="00884339" w:rsidRDefault="00E45ACA" w:rsidP="00884339">
            <w:pPr>
              <w:jc w:val="right"/>
            </w:pPr>
            <w:r>
              <w:t>130,25</w:t>
            </w:r>
            <w:r w:rsidR="00884339">
              <w:t>%</w:t>
            </w:r>
          </w:p>
        </w:tc>
      </w:tr>
      <w:tr w:rsidR="00884339" w:rsidRPr="00B17CD8" w:rsidTr="00884339">
        <w:tc>
          <w:tcPr>
            <w:tcW w:w="750" w:type="dxa"/>
          </w:tcPr>
          <w:p w:rsidR="00884339" w:rsidRPr="00B17CD8" w:rsidRDefault="00884339" w:rsidP="00884339">
            <w:pPr>
              <w:rPr>
                <w:b/>
              </w:rPr>
            </w:pPr>
          </w:p>
        </w:tc>
        <w:tc>
          <w:tcPr>
            <w:tcW w:w="3356" w:type="dxa"/>
          </w:tcPr>
          <w:p w:rsidR="00884339" w:rsidRPr="00B17CD8" w:rsidRDefault="00884339" w:rsidP="00884339">
            <w:pPr>
              <w:jc w:val="right"/>
              <w:rPr>
                <w:b/>
              </w:rPr>
            </w:pPr>
            <w:r>
              <w:rPr>
                <w:b/>
              </w:rPr>
              <w:t xml:space="preserve">Ukupno </w:t>
            </w:r>
            <w:r w:rsidRPr="00B17CD8">
              <w:rPr>
                <w:b/>
              </w:rPr>
              <w:t>Proračunski korisnici</w:t>
            </w:r>
          </w:p>
        </w:tc>
        <w:tc>
          <w:tcPr>
            <w:tcW w:w="1785" w:type="dxa"/>
          </w:tcPr>
          <w:p w:rsidR="00884339" w:rsidRPr="00B17CD8" w:rsidRDefault="00884339" w:rsidP="00884339">
            <w:pPr>
              <w:jc w:val="right"/>
              <w:rPr>
                <w:b/>
              </w:rPr>
            </w:pPr>
            <w:r>
              <w:rPr>
                <w:b/>
              </w:rPr>
              <w:t>450.450,95</w:t>
            </w:r>
          </w:p>
        </w:tc>
        <w:tc>
          <w:tcPr>
            <w:tcW w:w="1617" w:type="dxa"/>
          </w:tcPr>
          <w:p w:rsidR="00884339" w:rsidRDefault="00E45ACA" w:rsidP="00884339">
            <w:pPr>
              <w:jc w:val="right"/>
              <w:rPr>
                <w:b/>
              </w:rPr>
            </w:pPr>
            <w:r>
              <w:rPr>
                <w:b/>
              </w:rPr>
              <w:t>593.024,82</w:t>
            </w:r>
          </w:p>
        </w:tc>
        <w:tc>
          <w:tcPr>
            <w:tcW w:w="1418" w:type="dxa"/>
          </w:tcPr>
          <w:p w:rsidR="00884339" w:rsidRDefault="00E45ACA" w:rsidP="00884339">
            <w:pPr>
              <w:jc w:val="right"/>
              <w:rPr>
                <w:b/>
              </w:rPr>
            </w:pPr>
            <w:r>
              <w:rPr>
                <w:b/>
              </w:rPr>
              <w:t>131,65</w:t>
            </w:r>
            <w:r w:rsidR="00884339">
              <w:rPr>
                <w:b/>
              </w:rPr>
              <w:t>%</w:t>
            </w:r>
          </w:p>
        </w:tc>
      </w:tr>
      <w:tr w:rsidR="00884339" w:rsidRPr="00477BA0" w:rsidTr="00884339">
        <w:tc>
          <w:tcPr>
            <w:tcW w:w="750" w:type="dxa"/>
          </w:tcPr>
          <w:p w:rsidR="00B60456" w:rsidRPr="00477BA0" w:rsidRDefault="00B60456" w:rsidP="000C1E51">
            <w:pPr>
              <w:rPr>
                <w:b/>
              </w:rPr>
            </w:pPr>
          </w:p>
        </w:tc>
        <w:tc>
          <w:tcPr>
            <w:tcW w:w="3356" w:type="dxa"/>
          </w:tcPr>
          <w:p w:rsidR="00B60456" w:rsidRPr="00477BA0" w:rsidRDefault="00B60456" w:rsidP="000C1E51">
            <w:pPr>
              <w:jc w:val="right"/>
              <w:rPr>
                <w:b/>
              </w:rPr>
            </w:pPr>
            <w:r w:rsidRPr="00477BA0">
              <w:rPr>
                <w:b/>
              </w:rPr>
              <w:t>UKUPNO</w:t>
            </w:r>
          </w:p>
        </w:tc>
        <w:tc>
          <w:tcPr>
            <w:tcW w:w="1785" w:type="dxa"/>
          </w:tcPr>
          <w:p w:rsidR="00B60456" w:rsidRPr="00477BA0" w:rsidRDefault="00884339" w:rsidP="000C1E51">
            <w:pPr>
              <w:jc w:val="right"/>
              <w:rPr>
                <w:b/>
              </w:rPr>
            </w:pPr>
            <w:r>
              <w:rPr>
                <w:b/>
              </w:rPr>
              <w:t>843.719,29</w:t>
            </w:r>
          </w:p>
        </w:tc>
        <w:tc>
          <w:tcPr>
            <w:tcW w:w="1617" w:type="dxa"/>
          </w:tcPr>
          <w:p w:rsidR="00B60456" w:rsidRDefault="00E45ACA" w:rsidP="000C1E51">
            <w:pPr>
              <w:jc w:val="right"/>
              <w:rPr>
                <w:b/>
              </w:rPr>
            </w:pPr>
            <w:r>
              <w:rPr>
                <w:b/>
              </w:rPr>
              <w:t>1.195.341,66</w:t>
            </w:r>
          </w:p>
        </w:tc>
        <w:tc>
          <w:tcPr>
            <w:tcW w:w="1418" w:type="dxa"/>
          </w:tcPr>
          <w:p w:rsidR="00B60456" w:rsidRDefault="00D20D05" w:rsidP="000C1E51">
            <w:pPr>
              <w:jc w:val="right"/>
              <w:rPr>
                <w:b/>
              </w:rPr>
            </w:pPr>
            <w:r>
              <w:rPr>
                <w:b/>
              </w:rPr>
              <w:t>1</w:t>
            </w:r>
            <w:r w:rsidR="00E45ACA">
              <w:rPr>
                <w:b/>
              </w:rPr>
              <w:t>41</w:t>
            </w:r>
            <w:r>
              <w:rPr>
                <w:b/>
              </w:rPr>
              <w:t>,</w:t>
            </w:r>
            <w:r w:rsidR="00E45ACA">
              <w:rPr>
                <w:b/>
              </w:rPr>
              <w:t>68</w:t>
            </w:r>
            <w:r>
              <w:rPr>
                <w:b/>
              </w:rPr>
              <w:t>%</w:t>
            </w:r>
          </w:p>
        </w:tc>
      </w:tr>
    </w:tbl>
    <w:p w:rsidR="00AA6FA6" w:rsidRDefault="00AA6FA6" w:rsidP="00DE6593">
      <w:pPr>
        <w:rPr>
          <w:b/>
          <w:u w:val="single"/>
        </w:rPr>
      </w:pPr>
    </w:p>
    <w:p w:rsidR="00AA36D5" w:rsidRDefault="00654A44" w:rsidP="00AA36D5">
      <w:r w:rsidRPr="00CF6D07">
        <w:t xml:space="preserve">a) </w:t>
      </w:r>
      <w:r w:rsidR="0035491B" w:rsidRPr="0035491B">
        <w:t xml:space="preserve">U </w:t>
      </w:r>
      <w:r w:rsidR="0035491B" w:rsidRPr="009331B8">
        <w:rPr>
          <w:u w:val="single"/>
        </w:rPr>
        <w:t>Općini</w:t>
      </w:r>
      <w:r w:rsidR="0035491B" w:rsidRPr="0035491B">
        <w:t xml:space="preserve"> su rashodi za zaposlene </w:t>
      </w:r>
      <w:r w:rsidR="00910558">
        <w:t>602.316,84</w:t>
      </w:r>
      <w:r w:rsidR="0035491B" w:rsidRPr="0035491B">
        <w:t xml:space="preserve"> eura (zaposlenici </w:t>
      </w:r>
      <w:r w:rsidR="00910558">
        <w:t>O</w:t>
      </w:r>
      <w:r w:rsidR="0035491B" w:rsidRPr="0035491B">
        <w:t xml:space="preserve">pćine </w:t>
      </w:r>
      <w:r w:rsidR="00910558">
        <w:t>426.971,97</w:t>
      </w:r>
      <w:r w:rsidR="0035491B" w:rsidRPr="0035491B">
        <w:t xml:space="preserve"> + zaposlenic</w:t>
      </w:r>
      <w:r w:rsidR="00910558">
        <w:t>e</w:t>
      </w:r>
      <w:r w:rsidR="0035491B" w:rsidRPr="0035491B">
        <w:t xml:space="preserve"> na općinskom projektu </w:t>
      </w:r>
      <w:r w:rsidR="00910558">
        <w:t>175.344,87</w:t>
      </w:r>
      <w:r w:rsidR="0035491B" w:rsidRPr="0035491B">
        <w:t xml:space="preserve">) i </w:t>
      </w:r>
      <w:r w:rsidR="0035491B">
        <w:t>veći</w:t>
      </w:r>
      <w:r w:rsidR="0035491B" w:rsidRPr="0035491B">
        <w:t xml:space="preserve"> su za </w:t>
      </w:r>
      <w:r w:rsidR="00910558">
        <w:t>53,16</w:t>
      </w:r>
      <w:r w:rsidR="0035491B" w:rsidRPr="0035491B">
        <w:t xml:space="preserve">% u odnosu na godinu ranije kada su iznosili </w:t>
      </w:r>
      <w:r w:rsidR="00910558">
        <w:t>393.268,34</w:t>
      </w:r>
      <w:r w:rsidR="0035491B" w:rsidRPr="0035491B">
        <w:t xml:space="preserve"> eura (zaposlenici </w:t>
      </w:r>
      <w:r w:rsidR="00910558">
        <w:t>O</w:t>
      </w:r>
      <w:r w:rsidR="0035491B" w:rsidRPr="0035491B">
        <w:t xml:space="preserve">pćine </w:t>
      </w:r>
      <w:r w:rsidR="00910558">
        <w:t>326.956,40</w:t>
      </w:r>
      <w:r w:rsidR="0035491B" w:rsidRPr="0035491B">
        <w:t xml:space="preserve"> + zaposlenic</w:t>
      </w:r>
      <w:r w:rsidR="00910558">
        <w:t>e</w:t>
      </w:r>
      <w:r w:rsidR="0035491B" w:rsidRPr="0035491B">
        <w:t xml:space="preserve"> na općinskom projektu </w:t>
      </w:r>
      <w:r w:rsidR="00910558">
        <w:t>66.311,94</w:t>
      </w:r>
      <w:r w:rsidR="0035491B" w:rsidRPr="0035491B">
        <w:t>)</w:t>
      </w:r>
      <w:r w:rsidR="0035491B">
        <w:t xml:space="preserve">. </w:t>
      </w:r>
    </w:p>
    <w:p w:rsidR="0022184B" w:rsidRPr="00E44B55" w:rsidRDefault="0022184B" w:rsidP="0022184B">
      <w:r w:rsidRPr="00E44B55">
        <w:t>Razlog povećanja rashoda za zaposlene</w:t>
      </w:r>
      <w:r>
        <w:t xml:space="preserve"> u </w:t>
      </w:r>
      <w:r w:rsidR="00560B5F">
        <w:t>Upravnim</w:t>
      </w:r>
      <w:r>
        <w:t xml:space="preserve"> tijelima</w:t>
      </w:r>
      <w:r w:rsidRPr="00E44B55">
        <w:t xml:space="preserve"> </w:t>
      </w:r>
      <w:r w:rsidR="00910558">
        <w:t>Općine nije povećanje osnovice za obračun plaća već zapošljavanje</w:t>
      </w:r>
      <w:r w:rsidRPr="00E44B55">
        <w:t xml:space="preserve"> 4 nova službenika</w:t>
      </w:r>
      <w:r>
        <w:t xml:space="preserve"> i jedn</w:t>
      </w:r>
      <w:r w:rsidR="00910558">
        <w:t>e</w:t>
      </w:r>
      <w:r>
        <w:t xml:space="preserve"> vježbenic</w:t>
      </w:r>
      <w:r w:rsidR="00910558">
        <w:t>e</w:t>
      </w:r>
      <w:r w:rsidRPr="00E44B55">
        <w:t xml:space="preserve"> na radna mjesta koja su u Planu prijma za 2025. godinu navedena kao upražnjena.</w:t>
      </w:r>
      <w:r w:rsidR="00910558">
        <w:t xml:space="preserve"> </w:t>
      </w:r>
    </w:p>
    <w:p w:rsidR="00910558" w:rsidRDefault="00910558" w:rsidP="00AA36D5"/>
    <w:p w:rsidR="0035491B" w:rsidRPr="0035491B" w:rsidRDefault="00AA36D5" w:rsidP="00AA36D5">
      <w:r>
        <w:t>Na</w:t>
      </w:r>
      <w:r w:rsidR="0035491B">
        <w:t xml:space="preserve"> povećanj</w:t>
      </w:r>
      <w:r>
        <w:t>e</w:t>
      </w:r>
      <w:r w:rsidR="0035491B" w:rsidRPr="0035491B">
        <w:t xml:space="preserve"> </w:t>
      </w:r>
      <w:r w:rsidR="0035491B">
        <w:t>ovih rashoda</w:t>
      </w:r>
      <w:r w:rsidR="00560B5F">
        <w:t xml:space="preserve"> u 2025.</w:t>
      </w:r>
      <w:r w:rsidR="0035491B">
        <w:t xml:space="preserve"> </w:t>
      </w:r>
      <w:r w:rsidR="00560B5F">
        <w:t xml:space="preserve">u odnosu na isto razdoblje prethodne godine </w:t>
      </w:r>
      <w:r w:rsidR="00EA638D">
        <w:t xml:space="preserve">utjecali </w:t>
      </w:r>
      <w:r w:rsidR="00560B5F">
        <w:t xml:space="preserve">su rashodi za plaće zaposlenih na Projektu </w:t>
      </w:r>
      <w:r w:rsidR="0035491B" w:rsidRPr="0035491B">
        <w:t>„</w:t>
      </w:r>
      <w:r w:rsidR="0035491B">
        <w:t>Zaželi - nisi sam</w:t>
      </w:r>
      <w:r w:rsidR="0035491B" w:rsidRPr="0035491B">
        <w:t xml:space="preserve">“. </w:t>
      </w:r>
      <w:r w:rsidR="00910558">
        <w:t xml:space="preserve"> Isplaćene su im plaće za sve mjesece 2025. a u 2024. nisu jer je  </w:t>
      </w:r>
      <w:r w:rsidRPr="00376F39">
        <w:rPr>
          <w:lang w:val="pl-PL"/>
        </w:rPr>
        <w:t xml:space="preserve">Koordinatorica EU projekta „Zaželi - nisi sam” raspoređena u Upravnom odjelu za opće poslove, društvene djelatnosti i održivi razvoj Općine Vela Luka na određeno vrijeme (okvirno 34 mjeseca) s danom </w:t>
      </w:r>
      <w:r w:rsidRPr="00910558">
        <w:rPr>
          <w:u w:val="single"/>
          <w:lang w:val="pl-PL"/>
        </w:rPr>
        <w:t>09.05.2024</w:t>
      </w:r>
      <w:r w:rsidRPr="00376F39">
        <w:rPr>
          <w:lang w:val="pl-PL"/>
        </w:rPr>
        <w:t>., a s</w:t>
      </w:r>
      <w:r>
        <w:rPr>
          <w:lang w:val="pl-PL"/>
        </w:rPr>
        <w:t xml:space="preserve"> 11</w:t>
      </w:r>
      <w:r w:rsidRPr="00376F39">
        <w:rPr>
          <w:lang w:val="pl-PL"/>
        </w:rPr>
        <w:t xml:space="preserve"> že</w:t>
      </w:r>
      <w:r>
        <w:rPr>
          <w:lang w:val="pl-PL"/>
        </w:rPr>
        <w:t>n</w:t>
      </w:r>
      <w:r w:rsidRPr="00376F39">
        <w:rPr>
          <w:lang w:val="pl-PL"/>
        </w:rPr>
        <w:t xml:space="preserve">a, čiji je posao pružanje usluge potpore i podrške u svakodnevnom životu osobama starije životne dobi i/ili nemoćnim osobama, ugovori </w:t>
      </w:r>
      <w:r>
        <w:rPr>
          <w:lang w:val="pl-PL"/>
        </w:rPr>
        <w:t>su</w:t>
      </w:r>
      <w:r w:rsidRPr="00376F39">
        <w:rPr>
          <w:lang w:val="pl-PL"/>
        </w:rPr>
        <w:t xml:space="preserve"> sklopljeni </w:t>
      </w:r>
      <w:r>
        <w:rPr>
          <w:lang w:val="pl-PL"/>
        </w:rPr>
        <w:t xml:space="preserve">na određeno vrijeme od </w:t>
      </w:r>
      <w:r w:rsidRPr="00A1184A">
        <w:rPr>
          <w:u w:val="single"/>
          <w:lang w:val="pl-PL"/>
        </w:rPr>
        <w:t>01.07.2024</w:t>
      </w:r>
      <w:r>
        <w:rPr>
          <w:lang w:val="pl-PL"/>
        </w:rPr>
        <w:t xml:space="preserve">. do 31.12.2026. godine. </w:t>
      </w:r>
      <w:r w:rsidR="00EA638D">
        <w:rPr>
          <w:lang w:val="pl-PL"/>
        </w:rPr>
        <w:t xml:space="preserve">Plaće </w:t>
      </w:r>
      <w:r w:rsidR="00EA638D">
        <w:t>z</w:t>
      </w:r>
      <w:r w:rsidR="0035491B" w:rsidRPr="0035491B">
        <w:t>aposleni</w:t>
      </w:r>
      <w:r>
        <w:t>c</w:t>
      </w:r>
      <w:r w:rsidR="00EA638D">
        <w:t>a</w:t>
      </w:r>
      <w:r w:rsidR="0035491B" w:rsidRPr="0035491B">
        <w:t xml:space="preserve"> na projekt</w:t>
      </w:r>
      <w:r>
        <w:t>u</w:t>
      </w:r>
      <w:r w:rsidR="0035491B" w:rsidRPr="0035491B">
        <w:t xml:space="preserve"> se financira</w:t>
      </w:r>
      <w:r>
        <w:t xml:space="preserve">ju </w:t>
      </w:r>
      <w:r w:rsidR="0035491B" w:rsidRPr="0035491B">
        <w:t>iz sredstava pomoći</w:t>
      </w:r>
      <w:r w:rsidR="00EA638D">
        <w:t xml:space="preserve">, tj. sredstvima EU. </w:t>
      </w:r>
    </w:p>
    <w:p w:rsidR="0035491B" w:rsidRDefault="0035491B" w:rsidP="00654A44">
      <w:pPr>
        <w:autoSpaceDE w:val="0"/>
        <w:autoSpaceDN w:val="0"/>
        <w:adjustRightInd w:val="0"/>
      </w:pPr>
    </w:p>
    <w:p w:rsidR="00654A44" w:rsidRPr="007F6F2A" w:rsidRDefault="00654A44" w:rsidP="00654A44">
      <w:pPr>
        <w:autoSpaceDE w:val="0"/>
        <w:autoSpaceDN w:val="0"/>
        <w:adjustRightInd w:val="0"/>
      </w:pPr>
      <w:r>
        <w:t>O</w:t>
      </w:r>
      <w:r w:rsidRPr="007F6F2A">
        <w:t xml:space="preserve">snovica za obračun plaće službenika i namještenika </w:t>
      </w:r>
      <w:r>
        <w:t>u Upravnim tijelima Općine Vela Luka, od 01.01.</w:t>
      </w:r>
      <w:r w:rsidR="00A1184A">
        <w:t xml:space="preserve"> do 31.10.</w:t>
      </w:r>
      <w:r>
        <w:t>2024. je 600,00 eura</w:t>
      </w:r>
      <w:r w:rsidR="00A1184A">
        <w:t>, a o</w:t>
      </w:r>
      <w:r w:rsidRPr="007F6F2A">
        <w:t xml:space="preserve">snovica </w:t>
      </w:r>
      <w:r>
        <w:t>u visini od 780,00 eura, primjenjuje se od 1. studenoga 2024. godine, počevši od isplate plaće za listopad 2024. godine</w:t>
      </w:r>
      <w:r w:rsidR="00AA36D5">
        <w:t>, pa</w:t>
      </w:r>
      <w:r w:rsidR="00A1184A">
        <w:t xml:space="preserve"> nadalje.</w:t>
      </w:r>
    </w:p>
    <w:p w:rsidR="0035491B" w:rsidRDefault="0035491B" w:rsidP="00654A44"/>
    <w:p w:rsidR="00C50383" w:rsidRDefault="00654A44" w:rsidP="00654A44">
      <w:r>
        <w:t xml:space="preserve">b) </w:t>
      </w:r>
      <w:r w:rsidRPr="001165B2">
        <w:t xml:space="preserve">U </w:t>
      </w:r>
      <w:r w:rsidRPr="009331B8">
        <w:rPr>
          <w:u w:val="single"/>
        </w:rPr>
        <w:t>DV Radost</w:t>
      </w:r>
      <w:r w:rsidRPr="001165B2">
        <w:t xml:space="preserve"> rashodi za zaposlene</w:t>
      </w:r>
      <w:r w:rsidR="00987097">
        <w:t xml:space="preserve"> iznose</w:t>
      </w:r>
      <w:r>
        <w:t xml:space="preserve"> </w:t>
      </w:r>
      <w:r w:rsidR="00A1184A">
        <w:t>506.338,22</w:t>
      </w:r>
      <w:r w:rsidR="00987097">
        <w:t xml:space="preserve"> </w:t>
      </w:r>
      <w:r>
        <w:t xml:space="preserve">eura, dok su </w:t>
      </w:r>
      <w:r w:rsidR="00987097">
        <w:t xml:space="preserve">u promatranom razdoblju prethodne </w:t>
      </w:r>
      <w:r>
        <w:t>godin</w:t>
      </w:r>
      <w:r w:rsidR="00987097">
        <w:t>e</w:t>
      </w:r>
      <w:r>
        <w:t xml:space="preserve"> iznosili</w:t>
      </w:r>
      <w:r w:rsidRPr="001165B2">
        <w:t xml:space="preserve"> </w:t>
      </w:r>
      <w:r w:rsidR="00A1184A">
        <w:t xml:space="preserve">364.253,96 </w:t>
      </w:r>
      <w:r>
        <w:t>eura</w:t>
      </w:r>
      <w:r w:rsidRPr="001165B2">
        <w:t xml:space="preserve"> i veći su u za </w:t>
      </w:r>
      <w:r w:rsidR="00987097">
        <w:t>3</w:t>
      </w:r>
      <w:r w:rsidR="00A1184A">
        <w:t>9</w:t>
      </w:r>
      <w:r w:rsidR="00987097">
        <w:t>,</w:t>
      </w:r>
      <w:r w:rsidR="00A1184A">
        <w:t>01</w:t>
      </w:r>
      <w:r w:rsidRPr="001165B2">
        <w:t xml:space="preserve">%. </w:t>
      </w:r>
      <w:r w:rsidR="00987097">
        <w:t xml:space="preserve">Razlog povećanja je </w:t>
      </w:r>
      <w:r w:rsidR="00A1184A">
        <w:t xml:space="preserve">kontinuirano </w:t>
      </w:r>
      <w:r w:rsidR="00987097">
        <w:t xml:space="preserve">povećanje osnovice za izračun plaće </w:t>
      </w:r>
      <w:r w:rsidR="00A1184A">
        <w:t>tj. 3 puta u 2025. godini</w:t>
      </w:r>
      <w:r w:rsidR="002E0E55">
        <w:t>, kao</w:t>
      </w:r>
      <w:r w:rsidR="00052A1A">
        <w:t xml:space="preserve"> i koeficijenata</w:t>
      </w:r>
      <w:r w:rsidR="006E4D80">
        <w:t xml:space="preserve"> </w:t>
      </w:r>
      <w:r w:rsidR="00ED413E">
        <w:t>(n</w:t>
      </w:r>
      <w:r w:rsidR="006E4D80">
        <w:t>a 50. sjednici Upravnog vijeća, održanoj 30. listopada 2024.g. donesena je Odluka o koeficijentima složenosti poslova radnih mjesta u Dječjem vrtiću Radost Vela Luka, gdje su isti i povećani</w:t>
      </w:r>
      <w:r w:rsidR="00ED413E">
        <w:t>)</w:t>
      </w:r>
      <w:r w:rsidR="006E4D80">
        <w:t>.</w:t>
      </w:r>
    </w:p>
    <w:p w:rsidR="00A1184A" w:rsidRDefault="00A1184A" w:rsidP="00A1184A">
      <w:pPr>
        <w:rPr>
          <w:szCs w:val="20"/>
        </w:rPr>
      </w:pPr>
      <w:r>
        <w:t>Razlog tome proizlazi iz povećanja osnovica za obračun plaće za zaposlenike u javnim službama na koje se primjenjuje Zakon o plaćama u državnoj službi i javnim službama (»Narodne novine«, broj 155/23.) te</w:t>
      </w:r>
      <w:r w:rsidR="00686931">
        <w:t xml:space="preserve"> primjena</w:t>
      </w:r>
      <w:r>
        <w:t xml:space="preserve"> Temeljn</w:t>
      </w:r>
      <w:r w:rsidR="00686931">
        <w:t>og</w:t>
      </w:r>
      <w:r>
        <w:t xml:space="preserve"> kolektivn</w:t>
      </w:r>
      <w:r w:rsidR="00686931">
        <w:t>og</w:t>
      </w:r>
      <w:r>
        <w:t xml:space="preserve"> ugovor</w:t>
      </w:r>
      <w:r w:rsidR="00686931">
        <w:t>a</w:t>
      </w:r>
      <w:r>
        <w:t xml:space="preserve"> za zaposlenike u javnim službama</w:t>
      </w:r>
      <w:r w:rsidR="00686931">
        <w:t>. Tako je 1. povećanje osnovice na 947,18 eura bruto bilo za obračun plaće za 01/25,</w:t>
      </w:r>
      <w:r>
        <w:t xml:space="preserve"> </w:t>
      </w:r>
      <w:r w:rsidR="00686931">
        <w:t xml:space="preserve"> zatim </w:t>
      </w:r>
      <w:r>
        <w:t xml:space="preserve">od 1. veljače 2025. do 31. kolovoza 2025. godine </w:t>
      </w:r>
      <w:r w:rsidR="00686931">
        <w:t xml:space="preserve"> na </w:t>
      </w:r>
      <w:r>
        <w:t>975,60 eura bruto te od 1. rujna 2025. godine pa nadalje</w:t>
      </w:r>
      <w:r w:rsidR="00686931">
        <w:t xml:space="preserve"> na</w:t>
      </w:r>
      <w:r>
        <w:t xml:space="preserve"> 1.004,87 eura bruto</w:t>
      </w:r>
      <w:r w:rsidR="00686931">
        <w:t>.</w:t>
      </w:r>
    </w:p>
    <w:p w:rsidR="00654A44" w:rsidRPr="00A168C3" w:rsidRDefault="00654A44" w:rsidP="00654A44">
      <w:r w:rsidRPr="00173EDE">
        <w:lastRenderedPageBreak/>
        <w:t xml:space="preserve">U </w:t>
      </w:r>
      <w:r>
        <w:t>202</w:t>
      </w:r>
      <w:r w:rsidR="00987097">
        <w:t>5</w:t>
      </w:r>
      <w:r>
        <w:t>. su primljena sredstva iz državnog proračuna</w:t>
      </w:r>
      <w:r w:rsidRPr="00173EDE">
        <w:t xml:space="preserve"> za financiranje fiskalne održivosti dječjeg vrtića u iznosu od </w:t>
      </w:r>
      <w:r w:rsidR="00A1184A">
        <w:t>153.780</w:t>
      </w:r>
      <w:r w:rsidR="00987097">
        <w:t>,00</w:t>
      </w:r>
      <w:r w:rsidRPr="00173EDE">
        <w:t xml:space="preserve"> eura, dok </w:t>
      </w:r>
      <w:r>
        <w:t xml:space="preserve">su u godini ranije ista iznosila </w:t>
      </w:r>
      <w:r w:rsidR="00A1184A">
        <w:t>139.056</w:t>
      </w:r>
      <w:r w:rsidR="00987097" w:rsidRPr="00173EDE">
        <w:t xml:space="preserve">,00 </w:t>
      </w:r>
      <w:r>
        <w:t>eura</w:t>
      </w:r>
      <w:r w:rsidRPr="00173EDE">
        <w:t xml:space="preserve">. </w:t>
      </w:r>
      <w:r>
        <w:t>Sredstva su namjenski utrošena.</w:t>
      </w:r>
    </w:p>
    <w:p w:rsidR="00654A44" w:rsidRDefault="00654A44" w:rsidP="00654A44">
      <w:bookmarkStart w:id="6" w:name="_Hlk140744559"/>
      <w:r>
        <w:t xml:space="preserve">c) </w:t>
      </w:r>
      <w:r w:rsidRPr="001165B2">
        <w:t>U</w:t>
      </w:r>
      <w:bookmarkEnd w:id="6"/>
      <w:r w:rsidRPr="001165B2">
        <w:t xml:space="preserve"> </w:t>
      </w:r>
      <w:r w:rsidRPr="009331B8">
        <w:rPr>
          <w:u w:val="single"/>
        </w:rPr>
        <w:t xml:space="preserve">Centru za kulturu </w:t>
      </w:r>
      <w:r>
        <w:t xml:space="preserve">su rashodi za zaposlene </w:t>
      </w:r>
      <w:r w:rsidR="0001017D">
        <w:t>50.155,32</w:t>
      </w:r>
      <w:r w:rsidR="00987097">
        <w:t xml:space="preserve"> </w:t>
      </w:r>
      <w:r>
        <w:t xml:space="preserve">eura dok su godinu ranije iznosili </w:t>
      </w:r>
      <w:r w:rsidR="0001017D">
        <w:t>58.150,81</w:t>
      </w:r>
      <w:r w:rsidR="00CF6D07">
        <w:t xml:space="preserve"> </w:t>
      </w:r>
      <w:r>
        <w:t>eura.</w:t>
      </w:r>
      <w:r w:rsidRPr="001165B2">
        <w:t xml:space="preserve"> </w:t>
      </w:r>
      <w:r>
        <w:t>Rashodi su u 202</w:t>
      </w:r>
      <w:r w:rsidR="00DD3EBB">
        <w:t>5</w:t>
      </w:r>
      <w:r>
        <w:t>. manji u odnosu na godinu ranije, iako je povećana osnovica za obračun plaće</w:t>
      </w:r>
      <w:r w:rsidR="00C50383">
        <w:t>, koeficijenti</w:t>
      </w:r>
      <w:r w:rsidR="00AA36D5">
        <w:t xml:space="preserve"> </w:t>
      </w:r>
      <w:r>
        <w:t xml:space="preserve">i iznos naknada, iz razloga što </w:t>
      </w:r>
      <w:r w:rsidR="00AA36D5">
        <w:t>je jedna zaposlenica na dugotrajnom bolovanju</w:t>
      </w:r>
      <w:r>
        <w:t>.</w:t>
      </w:r>
    </w:p>
    <w:p w:rsidR="00123E7E" w:rsidRPr="007D4723" w:rsidRDefault="00123E7E" w:rsidP="00123E7E">
      <w:pPr>
        <w:rPr>
          <w:b/>
        </w:rPr>
      </w:pPr>
      <w:r>
        <w:t xml:space="preserve"> Općinska načelnica je donijela Odluku o osnovici za obračun plaće zaposlenicima ustanova u vlasništvu Općine Vela Luka, s kojom je </w:t>
      </w:r>
      <w:r w:rsidR="007D4723">
        <w:t>o</w:t>
      </w:r>
      <w:r>
        <w:t xml:space="preserve">snovica povećana sa 947,18 eura na 975,60 eura počevši od isplate plaće za 02/25 (Sl. glasnik Općine Vela Luka br. 5/25. od 05.03.25.). </w:t>
      </w:r>
      <w:r w:rsidRPr="007D4723">
        <w:t>Od 1. rujna 2025. godine osnovica je povećana na 1.004,87 eura bruto i primjenjuje se počevši s plaćom za mjesec rujan, koja se isplaćuje u mjesecu listopadu</w:t>
      </w:r>
      <w:r w:rsidR="007D4723">
        <w:rPr>
          <w:b/>
        </w:rPr>
        <w:t xml:space="preserve"> </w:t>
      </w:r>
      <w:r w:rsidR="007D4723">
        <w:t xml:space="preserve">(Sl. glasnik Općine Vela Luka br. 14/25. od </w:t>
      </w:r>
      <w:r w:rsidR="00686931">
        <w:t>23</w:t>
      </w:r>
      <w:r w:rsidR="007D4723">
        <w:t>.0</w:t>
      </w:r>
      <w:r w:rsidR="00686931">
        <w:t>9</w:t>
      </w:r>
      <w:r w:rsidR="007D4723">
        <w:t>.25.).</w:t>
      </w:r>
    </w:p>
    <w:p w:rsidR="00123E7E" w:rsidRDefault="00123E7E" w:rsidP="00123E7E">
      <w:r>
        <w:t>Provođenjem nove sistematizacije radnih mjesta utvrđeni su i novi, veći koeficijenti složenosti poslova radnih mjesta zaposlenih u Centru za kulturu Vela Luka (Službeni glasnik Općine Vela Luka 15/24 od 19.08.2024.).</w:t>
      </w:r>
    </w:p>
    <w:p w:rsidR="00686931" w:rsidRPr="007D4723" w:rsidRDefault="00654A44" w:rsidP="00686931">
      <w:pPr>
        <w:rPr>
          <w:b/>
        </w:rPr>
      </w:pPr>
      <w:r>
        <w:t xml:space="preserve">d) </w:t>
      </w:r>
      <w:r w:rsidR="00F70C4C">
        <w:t xml:space="preserve">U </w:t>
      </w:r>
      <w:r w:rsidR="00F70C4C" w:rsidRPr="009331B8">
        <w:rPr>
          <w:u w:val="single"/>
        </w:rPr>
        <w:t>Knjižnici</w:t>
      </w:r>
      <w:r w:rsidR="00F70C4C">
        <w:t xml:space="preserve"> su rashodi za zaposlene povećani za </w:t>
      </w:r>
      <w:r w:rsidR="0001017D">
        <w:t>30,25</w:t>
      </w:r>
      <w:r w:rsidR="00F70C4C">
        <w:t xml:space="preserve">% i iznose </w:t>
      </w:r>
      <w:r w:rsidR="0001017D">
        <w:t>36.531,28</w:t>
      </w:r>
      <w:r w:rsidR="00F70C4C">
        <w:t xml:space="preserve"> eura, dok su godinu ranije bili </w:t>
      </w:r>
      <w:r w:rsidR="0001017D">
        <w:t>28.046,18</w:t>
      </w:r>
      <w:r w:rsidR="00F70C4C">
        <w:t xml:space="preserve"> eura. </w:t>
      </w:r>
      <w:r w:rsidR="00EA638D">
        <w:t>Naime, z</w:t>
      </w:r>
      <w:r w:rsidR="00F70C4C">
        <w:t>aposlena je nova osoba od 15.07.24. godine</w:t>
      </w:r>
      <w:r w:rsidR="0022184B" w:rsidRPr="0022184B">
        <w:t xml:space="preserve"> </w:t>
      </w:r>
      <w:r w:rsidR="0022184B">
        <w:t>na radno mjesto knjižničar, na puno radno vrijeme.</w:t>
      </w:r>
      <w:r w:rsidR="00EA638D">
        <w:t xml:space="preserve"> Također, </w:t>
      </w:r>
      <w:r w:rsidR="009331B8">
        <w:t>Općinska načelnica je donijela Odluku o osnovici za obračun plaće zaposlenicima ustanova u vlasništvu Općine Vela Luka</w:t>
      </w:r>
      <w:r w:rsidR="007D4723">
        <w:t>, s kojom je o</w:t>
      </w:r>
      <w:r w:rsidR="009331B8">
        <w:t>snovica povećana na 975,60 eura</w:t>
      </w:r>
      <w:r w:rsidR="007D4723">
        <w:t xml:space="preserve">, </w:t>
      </w:r>
      <w:r w:rsidR="009331B8">
        <w:t>počevši od isplate plaće za 02/25 (Sl. glasnik Općine Vela Luka br. 5/25. od 05.03.25.)</w:t>
      </w:r>
      <w:r w:rsidR="00123E7E">
        <w:t>.</w:t>
      </w:r>
      <w:r w:rsidR="00686931" w:rsidRPr="00686931">
        <w:t xml:space="preserve"> </w:t>
      </w:r>
      <w:r w:rsidR="00686931" w:rsidRPr="007D4723">
        <w:t>Od 1. rujna 2025. godine osnovica je povećana na 1.004,87 eura bruto i primjenjuje se počevši s plaćom za mjesec rujan, koja se isplaćuje u mjesecu listopadu</w:t>
      </w:r>
      <w:r w:rsidR="00686931">
        <w:rPr>
          <w:b/>
        </w:rPr>
        <w:t xml:space="preserve"> </w:t>
      </w:r>
      <w:r w:rsidR="00686931">
        <w:t>(Sl. glasnik Općine Vela Luka br. 14/25. od 23.09.25.).</w:t>
      </w:r>
    </w:p>
    <w:p w:rsidR="009331B8" w:rsidRPr="00EA638D" w:rsidRDefault="009331B8" w:rsidP="009331B8"/>
    <w:p w:rsidR="00C00F7A" w:rsidRPr="00AB3B88" w:rsidRDefault="00C00F7A" w:rsidP="00C00F7A">
      <w:pPr>
        <w:ind w:hanging="567"/>
        <w:rPr>
          <w:b/>
        </w:rPr>
      </w:pPr>
      <w:r>
        <w:rPr>
          <w:b/>
        </w:rPr>
        <w:t xml:space="preserve">         </w:t>
      </w:r>
      <w:r w:rsidRPr="00AB3B88">
        <w:rPr>
          <w:b/>
        </w:rPr>
        <w:t>PRORAČUNSKA OGRANIČENJA PLAĆA</w:t>
      </w:r>
    </w:p>
    <w:p w:rsidR="00C00F7A" w:rsidRDefault="00C00F7A" w:rsidP="00C00F7A">
      <w:pPr>
        <w:ind w:hanging="567"/>
      </w:pPr>
    </w:p>
    <w:p w:rsidR="00C00F7A" w:rsidRDefault="00C00F7A" w:rsidP="00C00F7A">
      <w:pPr>
        <w:ind w:hanging="567"/>
      </w:pPr>
      <w:r>
        <w:t xml:space="preserve">         Zakonom o izmjenama i dopuni Zakona o plaćama u LP(R)S (NN 10/23), čl. 14.</w:t>
      </w:r>
      <w:r w:rsidR="009B40FA">
        <w:t>,</w:t>
      </w:r>
      <w:r>
        <w:t xml:space="preserve"> </w:t>
      </w:r>
      <w:r w:rsidR="009B40FA">
        <w:t xml:space="preserve">masa sredstava za plaće </w:t>
      </w:r>
      <w:r w:rsidR="009B40FA" w:rsidRPr="002F17AF">
        <w:rPr>
          <w:u w:val="single"/>
        </w:rPr>
        <w:t>ne smije</w:t>
      </w:r>
      <w:r w:rsidR="009B40FA">
        <w:t xml:space="preserve"> iznositi više od 18 % prihoda poslovanja</w:t>
      </w:r>
      <w:r w:rsidR="009B40FA" w:rsidRPr="00804F2F">
        <w:t xml:space="preserve"> </w:t>
      </w:r>
      <w:r w:rsidR="009B40FA">
        <w:t>jedinice ostvarenih u godini</w:t>
      </w:r>
      <w:r w:rsidR="009B40FA" w:rsidRPr="009B40FA">
        <w:t xml:space="preserve"> </w:t>
      </w:r>
      <w:r w:rsidR="009B40FA">
        <w:t>koja prethodi godini izrade proračuna</w:t>
      </w:r>
      <w:r w:rsidR="00020FF9">
        <w:t xml:space="preserve"> (ranije je to bilo 20%)</w:t>
      </w:r>
      <w:r w:rsidR="009B40FA">
        <w:t xml:space="preserve">. </w:t>
      </w:r>
    </w:p>
    <w:p w:rsidR="000D5E27" w:rsidRDefault="00C00F7A" w:rsidP="00BB541F">
      <w:pPr>
        <w:ind w:hanging="567"/>
      </w:pPr>
      <w:r>
        <w:t xml:space="preserve">         Člankom 15. istog Zakona, povećan je postotak udjela sredstava fiskalnog izravnanja u prihodima poslovanja s 10 na 20%, (a koji se odnosi na dozvoljenu masu sredstava za isplatu plaća). Ako iznos tih pomoći prelazi 20% prihoda poslovanja, a masa sredstava isplaćenih plaća iznosi više od 15% prihoda poslovanja, ukupna masa sredstava za plaće zaposlenih dužnosnika, službenika i namještenika ne smije se povećavati u odnosu na godinu koja prethodi godini </w:t>
      </w:r>
      <w:bookmarkStart w:id="7" w:name="_Hlk207971788"/>
      <w:r>
        <w:t>izrade proračuna</w:t>
      </w:r>
      <w:bookmarkEnd w:id="7"/>
      <w:r>
        <w:t>.</w:t>
      </w:r>
      <w:r w:rsidR="00BB541F" w:rsidRPr="00BB541F">
        <w:t xml:space="preserve"> </w:t>
      </w:r>
    </w:p>
    <w:p w:rsidR="000D5E27" w:rsidRDefault="000D5E27" w:rsidP="000D5E27">
      <w:pPr>
        <w:ind w:hanging="284"/>
      </w:pPr>
      <w:r>
        <w:t xml:space="preserve">     Sredstva za plaće zaposlenih na provedbi projekata </w:t>
      </w:r>
      <w:r w:rsidRPr="0029598D">
        <w:rPr>
          <w:u w:val="single"/>
        </w:rPr>
        <w:t>ne uključuju se</w:t>
      </w:r>
      <w:r>
        <w:t xml:space="preserve"> u ograničenje mase sredstava za plaće (čl. 16. Zakona).</w:t>
      </w:r>
    </w:p>
    <w:p w:rsidR="00C00F7A" w:rsidRDefault="000D5E27" w:rsidP="00BB541F">
      <w:pPr>
        <w:ind w:hanging="567"/>
      </w:pPr>
      <w:r>
        <w:t xml:space="preserve">          </w:t>
      </w:r>
      <w:r w:rsidR="00BB541F">
        <w:t xml:space="preserve">Pod masom sredstava za plaće </w:t>
      </w:r>
      <w:r w:rsidR="00BB541F" w:rsidRPr="0029598D">
        <w:rPr>
          <w:u w:val="single"/>
        </w:rPr>
        <w:t>zaposlenih u tijelima</w:t>
      </w:r>
      <w:r w:rsidR="00BB541F">
        <w:t xml:space="preserve"> jedinica podrazumijeva se masa bruto plaća zaposlenih</w:t>
      </w:r>
      <w:r w:rsidR="0003383C">
        <w:t xml:space="preserve"> (kto 311)</w:t>
      </w:r>
      <w:r w:rsidR="001576BD">
        <w:t xml:space="preserve"> </w:t>
      </w:r>
      <w:r w:rsidR="00BB541F">
        <w:t>i doprinos</w:t>
      </w:r>
      <w:r w:rsidR="001576BD">
        <w:t>i</w:t>
      </w:r>
      <w:r w:rsidR="00BB541F">
        <w:t xml:space="preserve"> na plaće</w:t>
      </w:r>
      <w:r w:rsidR="0003383C">
        <w:t xml:space="preserve"> (kto 313)</w:t>
      </w:r>
      <w:r w:rsidR="00BB541F">
        <w:t>.</w:t>
      </w:r>
    </w:p>
    <w:p w:rsidR="006F5030" w:rsidRDefault="006F5030" w:rsidP="006F5030">
      <w:pPr>
        <w:rPr>
          <w:b/>
          <w:i/>
          <w:color w:val="000000"/>
        </w:rPr>
      </w:pPr>
    </w:p>
    <w:p w:rsidR="006F5030" w:rsidRPr="0029598D" w:rsidRDefault="006F5030" w:rsidP="006F5030">
      <w:pPr>
        <w:rPr>
          <w:b/>
          <w:i/>
          <w:color w:val="000000"/>
        </w:rPr>
      </w:pPr>
      <w:r w:rsidRPr="0029598D">
        <w:rPr>
          <w:b/>
          <w:i/>
          <w:color w:val="000000"/>
        </w:rPr>
        <w:t>Zaključak: U izračun udjela mase sredstava za plaće u prihodima poslovanja, ne uzimaju se u obzir sredstva za plaće proračunskih korisnika niti zaposlenih na projektu.</w:t>
      </w:r>
    </w:p>
    <w:p w:rsidR="00C00F7A" w:rsidRDefault="000D5E27" w:rsidP="00C00F7A">
      <w:pPr>
        <w:ind w:hanging="567"/>
        <w:rPr>
          <w:b/>
          <w:color w:val="000000"/>
        </w:rPr>
      </w:pPr>
      <w:r>
        <w:t xml:space="preserve"> </w:t>
      </w:r>
    </w:p>
    <w:p w:rsidR="00C00F7A" w:rsidRDefault="00C00F7A" w:rsidP="00C00F7A">
      <w:pPr>
        <w:ind w:hanging="567"/>
        <w:rPr>
          <w:b/>
          <w:color w:val="000000"/>
        </w:rPr>
      </w:pPr>
      <w:r>
        <w:rPr>
          <w:b/>
          <w:color w:val="000000"/>
        </w:rPr>
        <w:t xml:space="preserve">         </w:t>
      </w:r>
      <w:r w:rsidR="00F70C4C">
        <w:rPr>
          <w:b/>
          <w:color w:val="000000"/>
        </w:rPr>
        <w:t xml:space="preserve">Tablica 5. </w:t>
      </w:r>
      <w:r w:rsidRPr="00994104">
        <w:rPr>
          <w:b/>
          <w:color w:val="000000"/>
        </w:rPr>
        <w:t xml:space="preserve">Udio </w:t>
      </w:r>
      <w:r>
        <w:rPr>
          <w:b/>
          <w:color w:val="000000"/>
        </w:rPr>
        <w:t>sredstava fiskalnog izravnanja iz državnog proračuna</w:t>
      </w:r>
      <w:r w:rsidRPr="00994104">
        <w:rPr>
          <w:b/>
          <w:color w:val="000000"/>
        </w:rPr>
        <w:t xml:space="preserve"> u prihodima poslovanja</w:t>
      </w:r>
      <w:r>
        <w:rPr>
          <w:b/>
          <w:color w:val="000000"/>
        </w:rPr>
        <w:t xml:space="preserve"> do 20% i udio mase sredstava za plaće u prihodima poslovanja (</w:t>
      </w:r>
      <w:r w:rsidR="00F70C4C">
        <w:rPr>
          <w:b/>
          <w:color w:val="000000"/>
        </w:rPr>
        <w:t xml:space="preserve">do </w:t>
      </w:r>
      <w:r>
        <w:rPr>
          <w:b/>
          <w:color w:val="000000"/>
        </w:rPr>
        <w:t>18 %)</w:t>
      </w:r>
    </w:p>
    <w:p w:rsidR="009331B8" w:rsidRPr="00994104" w:rsidRDefault="009331B8" w:rsidP="00C00F7A">
      <w:pPr>
        <w:ind w:hanging="567"/>
        <w:rPr>
          <w:b/>
          <w:color w:val="000000"/>
        </w:rPr>
      </w:pP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000" w:firstRow="0" w:lastRow="0" w:firstColumn="0" w:lastColumn="0" w:noHBand="0" w:noVBand="0"/>
      </w:tblPr>
      <w:tblGrid>
        <w:gridCol w:w="862"/>
        <w:gridCol w:w="1393"/>
        <w:gridCol w:w="1277"/>
        <w:gridCol w:w="1277"/>
        <w:gridCol w:w="1277"/>
        <w:gridCol w:w="1275"/>
        <w:gridCol w:w="1546"/>
        <w:gridCol w:w="1697"/>
      </w:tblGrid>
      <w:tr w:rsidR="000D5E27" w:rsidRPr="00FF0D61" w:rsidTr="000D5E27">
        <w:trPr>
          <w:tblCellSpacing w:w="0" w:type="dxa"/>
          <w:jc w:val="center"/>
        </w:trPr>
        <w:tc>
          <w:tcPr>
            <w:tcW w:w="407" w:type="pct"/>
            <w:tcBorders>
              <w:top w:val="outset" w:sz="6" w:space="0" w:color="000000"/>
              <w:left w:val="outset" w:sz="6" w:space="0" w:color="000000"/>
              <w:bottom w:val="outset" w:sz="6" w:space="0" w:color="000000"/>
              <w:right w:val="outset" w:sz="6" w:space="0" w:color="000000"/>
            </w:tcBorders>
          </w:tcPr>
          <w:p w:rsidR="000D5E27" w:rsidRPr="00FF0D61" w:rsidRDefault="000D5E27" w:rsidP="00FF0D61">
            <w:pPr>
              <w:spacing w:before="100" w:beforeAutospacing="1"/>
              <w:rPr>
                <w:b/>
                <w:color w:val="000000"/>
                <w:sz w:val="16"/>
                <w:szCs w:val="16"/>
              </w:rPr>
            </w:pPr>
            <w:bookmarkStart w:id="8" w:name="_Hlk122422516"/>
            <w:r w:rsidRPr="00FF0D61">
              <w:rPr>
                <w:b/>
                <w:color w:val="000000"/>
                <w:sz w:val="16"/>
                <w:szCs w:val="16"/>
              </w:rPr>
              <w:t>Godina</w:t>
            </w:r>
          </w:p>
        </w:tc>
        <w:tc>
          <w:tcPr>
            <w:tcW w:w="657" w:type="pct"/>
            <w:tcBorders>
              <w:top w:val="outset" w:sz="6" w:space="0" w:color="000000"/>
              <w:left w:val="outset" w:sz="6" w:space="0" w:color="000000"/>
              <w:bottom w:val="outset" w:sz="6" w:space="0" w:color="000000"/>
              <w:right w:val="outset" w:sz="6" w:space="0" w:color="000000"/>
            </w:tcBorders>
          </w:tcPr>
          <w:p w:rsidR="000D5E27" w:rsidRPr="00FF0D61" w:rsidRDefault="000D5E27" w:rsidP="00FF0D61">
            <w:pPr>
              <w:spacing w:before="100" w:beforeAutospacing="1"/>
              <w:jc w:val="center"/>
              <w:rPr>
                <w:b/>
                <w:color w:val="000000"/>
                <w:sz w:val="16"/>
                <w:szCs w:val="16"/>
              </w:rPr>
            </w:pPr>
            <w:r w:rsidRPr="00FF0D61">
              <w:rPr>
                <w:b/>
                <w:color w:val="000000"/>
                <w:sz w:val="16"/>
                <w:szCs w:val="16"/>
              </w:rPr>
              <w:t>Prihodi poslovanja - 6</w:t>
            </w:r>
          </w:p>
        </w:tc>
        <w:tc>
          <w:tcPr>
            <w:tcW w:w="602" w:type="pct"/>
            <w:tcBorders>
              <w:top w:val="outset" w:sz="6" w:space="0" w:color="000000"/>
              <w:left w:val="outset" w:sz="6" w:space="0" w:color="000000"/>
              <w:bottom w:val="outset" w:sz="6" w:space="0" w:color="000000"/>
              <w:right w:val="outset" w:sz="6" w:space="0" w:color="000000"/>
            </w:tcBorders>
          </w:tcPr>
          <w:p w:rsidR="000D5E27" w:rsidRPr="00FF0D61" w:rsidRDefault="000D5E27" w:rsidP="00FF0D61">
            <w:pPr>
              <w:spacing w:before="100" w:beforeAutospacing="1"/>
              <w:jc w:val="center"/>
              <w:rPr>
                <w:b/>
                <w:color w:val="000000"/>
                <w:sz w:val="16"/>
                <w:szCs w:val="16"/>
              </w:rPr>
            </w:pPr>
            <w:r w:rsidRPr="00FF0D61">
              <w:rPr>
                <w:b/>
                <w:color w:val="000000"/>
                <w:sz w:val="16"/>
                <w:szCs w:val="16"/>
              </w:rPr>
              <w:t>Ostvarena sredstva fiskalnog izravnanja - 63311</w:t>
            </w:r>
          </w:p>
        </w:tc>
        <w:tc>
          <w:tcPr>
            <w:tcW w:w="602" w:type="pct"/>
            <w:tcBorders>
              <w:top w:val="outset" w:sz="6" w:space="0" w:color="000000"/>
              <w:left w:val="outset" w:sz="6" w:space="0" w:color="000000"/>
              <w:bottom w:val="outset" w:sz="6" w:space="0" w:color="000000"/>
              <w:right w:val="outset" w:sz="6" w:space="0" w:color="000000"/>
            </w:tcBorders>
          </w:tcPr>
          <w:p w:rsidR="000D5E27" w:rsidRPr="00FF0D61" w:rsidRDefault="000D5E27" w:rsidP="00FF0D61">
            <w:pPr>
              <w:spacing w:before="100" w:beforeAutospacing="1"/>
              <w:jc w:val="center"/>
              <w:rPr>
                <w:b/>
                <w:color w:val="000000"/>
                <w:sz w:val="16"/>
                <w:szCs w:val="16"/>
              </w:rPr>
            </w:pPr>
            <w:r w:rsidRPr="00FF0D61">
              <w:rPr>
                <w:b/>
                <w:color w:val="000000"/>
                <w:sz w:val="16"/>
                <w:szCs w:val="16"/>
              </w:rPr>
              <w:t>Udio sred. fiskalnog izravnanja u prihodima poslovanja %              (do 20 %)</w:t>
            </w:r>
          </w:p>
        </w:tc>
        <w:tc>
          <w:tcPr>
            <w:tcW w:w="602" w:type="pct"/>
            <w:tcBorders>
              <w:top w:val="outset" w:sz="6" w:space="0" w:color="000000"/>
              <w:left w:val="outset" w:sz="6" w:space="0" w:color="000000"/>
              <w:bottom w:val="outset" w:sz="6" w:space="0" w:color="000000"/>
              <w:right w:val="outset" w:sz="6" w:space="0" w:color="000000"/>
            </w:tcBorders>
          </w:tcPr>
          <w:p w:rsidR="000D5E27" w:rsidRPr="00FF0D61" w:rsidRDefault="000D5E27" w:rsidP="00FF0D61">
            <w:pPr>
              <w:spacing w:before="100" w:beforeAutospacing="1"/>
              <w:jc w:val="center"/>
              <w:rPr>
                <w:b/>
                <w:color w:val="000000"/>
                <w:sz w:val="16"/>
                <w:szCs w:val="16"/>
              </w:rPr>
            </w:pPr>
            <w:r w:rsidRPr="00FF0D61">
              <w:rPr>
                <w:b/>
                <w:color w:val="000000"/>
                <w:sz w:val="16"/>
                <w:szCs w:val="16"/>
              </w:rPr>
              <w:t>Isplaćena bruto plaća i doprinosi na plaću načelnici (311+313)</w:t>
            </w:r>
          </w:p>
        </w:tc>
        <w:tc>
          <w:tcPr>
            <w:tcW w:w="601" w:type="pct"/>
            <w:tcBorders>
              <w:top w:val="outset" w:sz="6" w:space="0" w:color="000000"/>
              <w:left w:val="outset" w:sz="6" w:space="0" w:color="000000"/>
              <w:bottom w:val="outset" w:sz="6" w:space="0" w:color="000000"/>
              <w:right w:val="outset" w:sz="6" w:space="0" w:color="000000"/>
            </w:tcBorders>
          </w:tcPr>
          <w:p w:rsidR="000D5E27" w:rsidRPr="00FF0D61" w:rsidRDefault="000D5E27" w:rsidP="00FF0D61">
            <w:pPr>
              <w:spacing w:before="100" w:beforeAutospacing="1"/>
              <w:jc w:val="center"/>
              <w:rPr>
                <w:b/>
                <w:color w:val="000000"/>
                <w:sz w:val="16"/>
                <w:szCs w:val="16"/>
              </w:rPr>
            </w:pPr>
            <w:r w:rsidRPr="00FF0D61">
              <w:rPr>
                <w:b/>
                <w:color w:val="000000"/>
                <w:sz w:val="16"/>
                <w:szCs w:val="16"/>
              </w:rPr>
              <w:t>Isplaćena bruto plaća i doprinosi na plaću - službenici i namještenici Općine (311+313)</w:t>
            </w:r>
          </w:p>
        </w:tc>
        <w:tc>
          <w:tcPr>
            <w:tcW w:w="729" w:type="pct"/>
            <w:tcBorders>
              <w:top w:val="outset" w:sz="6" w:space="0" w:color="000000"/>
              <w:left w:val="outset" w:sz="6" w:space="0" w:color="000000"/>
              <w:bottom w:val="outset" w:sz="6" w:space="0" w:color="000000"/>
              <w:right w:val="outset" w:sz="6" w:space="0" w:color="000000"/>
            </w:tcBorders>
          </w:tcPr>
          <w:p w:rsidR="000D5E27" w:rsidRPr="00FF0D61" w:rsidRDefault="000D5E27" w:rsidP="00FF0D61">
            <w:pPr>
              <w:spacing w:before="100" w:beforeAutospacing="1"/>
              <w:jc w:val="center"/>
              <w:rPr>
                <w:b/>
                <w:color w:val="000000"/>
                <w:sz w:val="16"/>
                <w:szCs w:val="16"/>
              </w:rPr>
            </w:pPr>
            <w:r w:rsidRPr="00FF0D61">
              <w:rPr>
                <w:b/>
                <w:color w:val="000000"/>
                <w:sz w:val="16"/>
                <w:szCs w:val="16"/>
              </w:rPr>
              <w:t>Masa sredstava za plaće  zaposlenih dužnosnika, službenika i namještenika</w:t>
            </w:r>
          </w:p>
        </w:tc>
        <w:tc>
          <w:tcPr>
            <w:tcW w:w="800" w:type="pct"/>
            <w:tcBorders>
              <w:top w:val="outset" w:sz="6" w:space="0" w:color="000000"/>
              <w:left w:val="outset" w:sz="6" w:space="0" w:color="000000"/>
              <w:bottom w:val="outset" w:sz="6" w:space="0" w:color="000000"/>
              <w:right w:val="outset" w:sz="6" w:space="0" w:color="000000"/>
            </w:tcBorders>
          </w:tcPr>
          <w:p w:rsidR="000D5E27" w:rsidRPr="00FF0D61" w:rsidRDefault="000D5E27" w:rsidP="000D5E27">
            <w:pPr>
              <w:spacing w:before="100" w:beforeAutospacing="1"/>
              <w:jc w:val="center"/>
              <w:rPr>
                <w:b/>
                <w:color w:val="000000"/>
                <w:sz w:val="16"/>
                <w:szCs w:val="16"/>
              </w:rPr>
            </w:pPr>
            <w:r w:rsidRPr="00FF0D61">
              <w:rPr>
                <w:b/>
                <w:color w:val="000000"/>
                <w:sz w:val="16"/>
                <w:szCs w:val="16"/>
              </w:rPr>
              <w:t>Udio mase sredstava za plaće u prihodima poslovanja (do 18</w:t>
            </w:r>
            <w:r>
              <w:rPr>
                <w:b/>
                <w:color w:val="000000"/>
                <w:sz w:val="16"/>
                <w:szCs w:val="16"/>
              </w:rPr>
              <w:t xml:space="preserve"> </w:t>
            </w:r>
            <w:r w:rsidRPr="00FF0D61">
              <w:rPr>
                <w:b/>
                <w:color w:val="000000"/>
                <w:sz w:val="16"/>
                <w:szCs w:val="16"/>
              </w:rPr>
              <w:t>%)</w:t>
            </w:r>
          </w:p>
        </w:tc>
      </w:tr>
      <w:tr w:rsidR="000D5E27" w:rsidRPr="00FF0D61" w:rsidTr="000D5E27">
        <w:trPr>
          <w:tblCellSpacing w:w="0" w:type="dxa"/>
          <w:jc w:val="center"/>
        </w:trPr>
        <w:tc>
          <w:tcPr>
            <w:tcW w:w="407" w:type="pct"/>
            <w:tcBorders>
              <w:top w:val="outset" w:sz="6" w:space="0" w:color="000000"/>
              <w:left w:val="outset" w:sz="6" w:space="0" w:color="000000"/>
              <w:bottom w:val="outset" w:sz="6" w:space="0" w:color="000000"/>
              <w:right w:val="outset" w:sz="6" w:space="0" w:color="000000"/>
            </w:tcBorders>
          </w:tcPr>
          <w:p w:rsidR="000D5E27" w:rsidRPr="00FF0D61" w:rsidRDefault="000D5E27" w:rsidP="00FF0D61">
            <w:pPr>
              <w:jc w:val="center"/>
              <w:rPr>
                <w:color w:val="000000"/>
                <w:sz w:val="16"/>
                <w:szCs w:val="16"/>
              </w:rPr>
            </w:pPr>
            <w:r w:rsidRPr="00FF0D61">
              <w:rPr>
                <w:color w:val="000000"/>
                <w:sz w:val="16"/>
                <w:szCs w:val="16"/>
              </w:rPr>
              <w:t>1.</w:t>
            </w:r>
          </w:p>
        </w:tc>
        <w:tc>
          <w:tcPr>
            <w:tcW w:w="657" w:type="pct"/>
            <w:tcBorders>
              <w:top w:val="outset" w:sz="6" w:space="0" w:color="000000"/>
              <w:left w:val="outset" w:sz="6" w:space="0" w:color="000000"/>
              <w:bottom w:val="outset" w:sz="6" w:space="0" w:color="000000"/>
              <w:right w:val="outset" w:sz="6" w:space="0" w:color="000000"/>
            </w:tcBorders>
          </w:tcPr>
          <w:p w:rsidR="000D5E27" w:rsidRPr="00FF0D61" w:rsidRDefault="000D5E27" w:rsidP="00FF0D61">
            <w:pPr>
              <w:jc w:val="center"/>
              <w:rPr>
                <w:color w:val="000000"/>
                <w:sz w:val="16"/>
                <w:szCs w:val="16"/>
              </w:rPr>
            </w:pPr>
            <w:r w:rsidRPr="00FF0D61">
              <w:rPr>
                <w:color w:val="000000"/>
                <w:sz w:val="16"/>
                <w:szCs w:val="16"/>
              </w:rPr>
              <w:t>2.</w:t>
            </w:r>
          </w:p>
        </w:tc>
        <w:tc>
          <w:tcPr>
            <w:tcW w:w="602" w:type="pct"/>
            <w:tcBorders>
              <w:top w:val="outset" w:sz="6" w:space="0" w:color="000000"/>
              <w:left w:val="outset" w:sz="6" w:space="0" w:color="000000"/>
              <w:bottom w:val="outset" w:sz="6" w:space="0" w:color="000000"/>
              <w:right w:val="outset" w:sz="6" w:space="0" w:color="000000"/>
            </w:tcBorders>
          </w:tcPr>
          <w:p w:rsidR="000D5E27" w:rsidRPr="00FF0D61" w:rsidRDefault="000D5E27" w:rsidP="00FF0D61">
            <w:pPr>
              <w:jc w:val="center"/>
              <w:rPr>
                <w:color w:val="000000"/>
                <w:sz w:val="16"/>
                <w:szCs w:val="16"/>
              </w:rPr>
            </w:pPr>
            <w:r w:rsidRPr="00FF0D61">
              <w:rPr>
                <w:color w:val="000000"/>
                <w:sz w:val="16"/>
                <w:szCs w:val="16"/>
              </w:rPr>
              <w:t>3.</w:t>
            </w:r>
          </w:p>
        </w:tc>
        <w:tc>
          <w:tcPr>
            <w:tcW w:w="602" w:type="pct"/>
            <w:tcBorders>
              <w:top w:val="outset" w:sz="6" w:space="0" w:color="000000"/>
              <w:left w:val="outset" w:sz="6" w:space="0" w:color="000000"/>
              <w:bottom w:val="outset" w:sz="6" w:space="0" w:color="000000"/>
              <w:right w:val="outset" w:sz="6" w:space="0" w:color="000000"/>
            </w:tcBorders>
          </w:tcPr>
          <w:p w:rsidR="000D5E27" w:rsidRPr="00FF0D61" w:rsidRDefault="000D5E27" w:rsidP="00FF0D61">
            <w:pPr>
              <w:jc w:val="center"/>
              <w:rPr>
                <w:color w:val="000000"/>
                <w:sz w:val="16"/>
                <w:szCs w:val="16"/>
              </w:rPr>
            </w:pPr>
            <w:r w:rsidRPr="00FF0D61">
              <w:rPr>
                <w:color w:val="000000"/>
                <w:sz w:val="16"/>
                <w:szCs w:val="16"/>
              </w:rPr>
              <w:t>4.    (3/2x100)</w:t>
            </w:r>
          </w:p>
        </w:tc>
        <w:tc>
          <w:tcPr>
            <w:tcW w:w="602" w:type="pct"/>
            <w:tcBorders>
              <w:top w:val="outset" w:sz="6" w:space="0" w:color="000000"/>
              <w:left w:val="outset" w:sz="6" w:space="0" w:color="000000"/>
              <w:bottom w:val="outset" w:sz="6" w:space="0" w:color="000000"/>
              <w:right w:val="outset" w:sz="6" w:space="0" w:color="000000"/>
            </w:tcBorders>
          </w:tcPr>
          <w:p w:rsidR="000D5E27" w:rsidRPr="00FF0D61" w:rsidRDefault="000D5E27" w:rsidP="00FF0D61">
            <w:pPr>
              <w:jc w:val="center"/>
              <w:rPr>
                <w:bCs/>
                <w:color w:val="000000"/>
                <w:sz w:val="16"/>
                <w:szCs w:val="16"/>
              </w:rPr>
            </w:pPr>
            <w:r w:rsidRPr="00FF0D61">
              <w:rPr>
                <w:bCs/>
                <w:color w:val="000000"/>
                <w:sz w:val="16"/>
                <w:szCs w:val="16"/>
              </w:rPr>
              <w:t>5.</w:t>
            </w:r>
          </w:p>
        </w:tc>
        <w:tc>
          <w:tcPr>
            <w:tcW w:w="601" w:type="pct"/>
            <w:tcBorders>
              <w:top w:val="outset" w:sz="6" w:space="0" w:color="000000"/>
              <w:left w:val="outset" w:sz="6" w:space="0" w:color="000000"/>
              <w:bottom w:val="outset" w:sz="6" w:space="0" w:color="000000"/>
              <w:right w:val="outset" w:sz="6" w:space="0" w:color="000000"/>
            </w:tcBorders>
          </w:tcPr>
          <w:p w:rsidR="000D5E27" w:rsidRPr="00FF0D61" w:rsidRDefault="000D5E27" w:rsidP="00FF0D61">
            <w:pPr>
              <w:jc w:val="center"/>
              <w:rPr>
                <w:color w:val="000000"/>
                <w:sz w:val="16"/>
                <w:szCs w:val="16"/>
              </w:rPr>
            </w:pPr>
            <w:r w:rsidRPr="00FF0D61">
              <w:rPr>
                <w:color w:val="000000"/>
                <w:sz w:val="16"/>
                <w:szCs w:val="16"/>
              </w:rPr>
              <w:t>6.</w:t>
            </w:r>
          </w:p>
        </w:tc>
        <w:tc>
          <w:tcPr>
            <w:tcW w:w="729" w:type="pct"/>
            <w:tcBorders>
              <w:top w:val="outset" w:sz="6" w:space="0" w:color="000000"/>
              <w:left w:val="outset" w:sz="6" w:space="0" w:color="000000"/>
              <w:bottom w:val="outset" w:sz="6" w:space="0" w:color="000000"/>
              <w:right w:val="outset" w:sz="6" w:space="0" w:color="000000"/>
            </w:tcBorders>
          </w:tcPr>
          <w:p w:rsidR="000D5E27" w:rsidRDefault="000D5E27" w:rsidP="00FF0D61">
            <w:pPr>
              <w:jc w:val="center"/>
              <w:rPr>
                <w:color w:val="000000"/>
                <w:sz w:val="16"/>
                <w:szCs w:val="16"/>
              </w:rPr>
            </w:pPr>
            <w:r>
              <w:rPr>
                <w:color w:val="000000"/>
                <w:sz w:val="16"/>
                <w:szCs w:val="16"/>
              </w:rPr>
              <w:t>7</w:t>
            </w:r>
            <w:r w:rsidRPr="00FF0D61">
              <w:rPr>
                <w:color w:val="000000"/>
                <w:sz w:val="16"/>
                <w:szCs w:val="16"/>
              </w:rPr>
              <w:t>.</w:t>
            </w:r>
          </w:p>
          <w:p w:rsidR="000D5E27" w:rsidRPr="00FF0D61" w:rsidRDefault="000D5E27" w:rsidP="00FF0D61">
            <w:pPr>
              <w:jc w:val="center"/>
              <w:rPr>
                <w:color w:val="000000"/>
                <w:sz w:val="16"/>
                <w:szCs w:val="16"/>
              </w:rPr>
            </w:pPr>
            <w:r w:rsidRPr="00FF0D61">
              <w:rPr>
                <w:color w:val="000000"/>
                <w:sz w:val="16"/>
                <w:szCs w:val="16"/>
              </w:rPr>
              <w:t>(5+6)</w:t>
            </w:r>
          </w:p>
        </w:tc>
        <w:tc>
          <w:tcPr>
            <w:tcW w:w="800" w:type="pct"/>
            <w:tcBorders>
              <w:top w:val="outset" w:sz="6" w:space="0" w:color="000000"/>
              <w:left w:val="outset" w:sz="6" w:space="0" w:color="000000"/>
              <w:bottom w:val="outset" w:sz="6" w:space="0" w:color="000000"/>
              <w:right w:val="outset" w:sz="6" w:space="0" w:color="000000"/>
            </w:tcBorders>
          </w:tcPr>
          <w:p w:rsidR="000D5E27" w:rsidRDefault="000D5E27" w:rsidP="00FF0D61">
            <w:pPr>
              <w:jc w:val="center"/>
              <w:rPr>
                <w:color w:val="000000"/>
                <w:sz w:val="16"/>
                <w:szCs w:val="16"/>
              </w:rPr>
            </w:pPr>
            <w:r>
              <w:rPr>
                <w:color w:val="000000"/>
                <w:sz w:val="16"/>
                <w:szCs w:val="16"/>
              </w:rPr>
              <w:t>8</w:t>
            </w:r>
            <w:r w:rsidRPr="00FF0D61">
              <w:rPr>
                <w:color w:val="000000"/>
                <w:sz w:val="16"/>
                <w:szCs w:val="16"/>
              </w:rPr>
              <w:t xml:space="preserve">. </w:t>
            </w:r>
          </w:p>
          <w:p w:rsidR="000D5E27" w:rsidRPr="00FF0D61" w:rsidRDefault="000D5E27" w:rsidP="00FF0D61">
            <w:pPr>
              <w:jc w:val="center"/>
              <w:rPr>
                <w:color w:val="000000"/>
                <w:sz w:val="16"/>
                <w:szCs w:val="16"/>
              </w:rPr>
            </w:pPr>
            <w:r w:rsidRPr="00FF0D61">
              <w:rPr>
                <w:color w:val="000000"/>
                <w:sz w:val="16"/>
                <w:szCs w:val="16"/>
              </w:rPr>
              <w:t xml:space="preserve"> (7/2x100)</w:t>
            </w:r>
          </w:p>
        </w:tc>
      </w:tr>
      <w:tr w:rsidR="000D5E27" w:rsidRPr="00FF0D61" w:rsidTr="000D5E27">
        <w:trPr>
          <w:tblCellSpacing w:w="0" w:type="dxa"/>
          <w:jc w:val="center"/>
        </w:trPr>
        <w:tc>
          <w:tcPr>
            <w:tcW w:w="407" w:type="pct"/>
            <w:tcBorders>
              <w:top w:val="outset" w:sz="6" w:space="0" w:color="000000"/>
              <w:left w:val="outset" w:sz="6" w:space="0" w:color="000000"/>
              <w:bottom w:val="outset" w:sz="6" w:space="0" w:color="000000"/>
              <w:right w:val="outset" w:sz="6" w:space="0" w:color="000000"/>
            </w:tcBorders>
          </w:tcPr>
          <w:p w:rsidR="000D5E27" w:rsidRPr="00FF0D61" w:rsidRDefault="000D5E27" w:rsidP="00FF0D61">
            <w:pPr>
              <w:spacing w:before="100" w:beforeAutospacing="1"/>
              <w:rPr>
                <w:color w:val="000000"/>
                <w:sz w:val="16"/>
                <w:szCs w:val="16"/>
              </w:rPr>
            </w:pPr>
            <w:r w:rsidRPr="00FF0D61">
              <w:rPr>
                <w:color w:val="000000"/>
                <w:sz w:val="16"/>
                <w:szCs w:val="16"/>
              </w:rPr>
              <w:t>2023.</w:t>
            </w:r>
          </w:p>
        </w:tc>
        <w:tc>
          <w:tcPr>
            <w:tcW w:w="657" w:type="pct"/>
            <w:tcBorders>
              <w:top w:val="outset" w:sz="6" w:space="0" w:color="000000"/>
              <w:left w:val="outset" w:sz="6" w:space="0" w:color="000000"/>
              <w:bottom w:val="outset" w:sz="6" w:space="0" w:color="000000"/>
              <w:right w:val="outset" w:sz="6" w:space="0" w:color="000000"/>
            </w:tcBorders>
          </w:tcPr>
          <w:p w:rsidR="000D5E27" w:rsidRPr="00FF0D61" w:rsidRDefault="000D5E27" w:rsidP="00FF0D61">
            <w:pPr>
              <w:spacing w:before="100" w:beforeAutospacing="1"/>
              <w:jc w:val="center"/>
              <w:rPr>
                <w:color w:val="000000"/>
                <w:sz w:val="16"/>
                <w:szCs w:val="16"/>
              </w:rPr>
            </w:pPr>
            <w:r w:rsidRPr="00FF0D61">
              <w:rPr>
                <w:color w:val="000000"/>
                <w:sz w:val="16"/>
                <w:szCs w:val="16"/>
              </w:rPr>
              <w:t>3.149.524,44</w:t>
            </w:r>
          </w:p>
        </w:tc>
        <w:tc>
          <w:tcPr>
            <w:tcW w:w="602" w:type="pct"/>
            <w:tcBorders>
              <w:top w:val="outset" w:sz="6" w:space="0" w:color="000000"/>
              <w:left w:val="outset" w:sz="6" w:space="0" w:color="000000"/>
              <w:bottom w:val="outset" w:sz="6" w:space="0" w:color="000000"/>
              <w:right w:val="outset" w:sz="6" w:space="0" w:color="000000"/>
            </w:tcBorders>
          </w:tcPr>
          <w:p w:rsidR="000D5E27" w:rsidRPr="00FF0D61" w:rsidRDefault="000D5E27" w:rsidP="00FF0D61">
            <w:pPr>
              <w:spacing w:before="100" w:beforeAutospacing="1"/>
              <w:jc w:val="right"/>
              <w:rPr>
                <w:bCs/>
                <w:color w:val="000000"/>
                <w:sz w:val="16"/>
                <w:szCs w:val="16"/>
              </w:rPr>
            </w:pPr>
            <w:r w:rsidRPr="00FF0D61">
              <w:rPr>
                <w:bCs/>
                <w:color w:val="000000"/>
                <w:sz w:val="16"/>
                <w:szCs w:val="16"/>
              </w:rPr>
              <w:t>547.354,00</w:t>
            </w:r>
          </w:p>
        </w:tc>
        <w:tc>
          <w:tcPr>
            <w:tcW w:w="602" w:type="pct"/>
            <w:tcBorders>
              <w:top w:val="outset" w:sz="6" w:space="0" w:color="000000"/>
              <w:left w:val="outset" w:sz="6" w:space="0" w:color="000000"/>
              <w:bottom w:val="outset" w:sz="6" w:space="0" w:color="000000"/>
              <w:right w:val="outset" w:sz="6" w:space="0" w:color="000000"/>
            </w:tcBorders>
          </w:tcPr>
          <w:p w:rsidR="000D5E27" w:rsidRPr="00FF0D61" w:rsidRDefault="000D5E27" w:rsidP="00FF0D61">
            <w:pPr>
              <w:spacing w:before="100" w:beforeAutospacing="1"/>
              <w:jc w:val="center"/>
              <w:rPr>
                <w:color w:val="000000"/>
                <w:sz w:val="16"/>
                <w:szCs w:val="16"/>
              </w:rPr>
            </w:pPr>
            <w:r w:rsidRPr="00FF0D61">
              <w:rPr>
                <w:color w:val="000000"/>
                <w:sz w:val="16"/>
                <w:szCs w:val="16"/>
              </w:rPr>
              <w:t>17,38</w:t>
            </w:r>
          </w:p>
        </w:tc>
        <w:tc>
          <w:tcPr>
            <w:tcW w:w="602" w:type="pct"/>
            <w:tcBorders>
              <w:top w:val="outset" w:sz="6" w:space="0" w:color="000000"/>
              <w:left w:val="outset" w:sz="6" w:space="0" w:color="000000"/>
              <w:bottom w:val="outset" w:sz="6" w:space="0" w:color="000000"/>
              <w:right w:val="outset" w:sz="6" w:space="0" w:color="000000"/>
            </w:tcBorders>
          </w:tcPr>
          <w:p w:rsidR="000D5E27" w:rsidRPr="00FF0D61" w:rsidRDefault="000D5E27" w:rsidP="00FF0D61">
            <w:pPr>
              <w:spacing w:before="100" w:beforeAutospacing="1"/>
              <w:jc w:val="right"/>
              <w:rPr>
                <w:bCs/>
                <w:color w:val="000000"/>
                <w:sz w:val="16"/>
                <w:szCs w:val="16"/>
              </w:rPr>
            </w:pPr>
            <w:r w:rsidRPr="00FF0D61">
              <w:rPr>
                <w:bCs/>
                <w:color w:val="000000"/>
                <w:sz w:val="16"/>
                <w:szCs w:val="16"/>
              </w:rPr>
              <w:t>30.</w:t>
            </w:r>
            <w:r>
              <w:rPr>
                <w:bCs/>
                <w:color w:val="000000"/>
                <w:sz w:val="16"/>
                <w:szCs w:val="16"/>
              </w:rPr>
              <w:t>059,70</w:t>
            </w:r>
          </w:p>
        </w:tc>
        <w:tc>
          <w:tcPr>
            <w:tcW w:w="601" w:type="pct"/>
            <w:tcBorders>
              <w:top w:val="outset" w:sz="6" w:space="0" w:color="000000"/>
              <w:left w:val="outset" w:sz="6" w:space="0" w:color="000000"/>
              <w:bottom w:val="outset" w:sz="6" w:space="0" w:color="000000"/>
              <w:right w:val="outset" w:sz="6" w:space="0" w:color="000000"/>
            </w:tcBorders>
          </w:tcPr>
          <w:p w:rsidR="000D5E27" w:rsidRPr="00FF0D61" w:rsidRDefault="000D5E27" w:rsidP="00FF0D61">
            <w:pPr>
              <w:spacing w:before="100" w:beforeAutospacing="1"/>
              <w:jc w:val="right"/>
              <w:rPr>
                <w:color w:val="000000"/>
                <w:sz w:val="16"/>
                <w:szCs w:val="16"/>
              </w:rPr>
            </w:pPr>
            <w:r>
              <w:rPr>
                <w:color w:val="000000"/>
                <w:sz w:val="16"/>
                <w:szCs w:val="16"/>
              </w:rPr>
              <w:t>223.238,41</w:t>
            </w:r>
          </w:p>
        </w:tc>
        <w:tc>
          <w:tcPr>
            <w:tcW w:w="729" w:type="pct"/>
            <w:tcBorders>
              <w:top w:val="outset" w:sz="6" w:space="0" w:color="000000"/>
              <w:left w:val="outset" w:sz="6" w:space="0" w:color="000000"/>
              <w:bottom w:val="outset" w:sz="6" w:space="0" w:color="000000"/>
              <w:right w:val="outset" w:sz="6" w:space="0" w:color="000000"/>
            </w:tcBorders>
          </w:tcPr>
          <w:p w:rsidR="000D5E27" w:rsidRPr="00FF0D61" w:rsidRDefault="00F70C4C" w:rsidP="00FF0D61">
            <w:pPr>
              <w:spacing w:before="100" w:beforeAutospacing="1"/>
              <w:jc w:val="right"/>
              <w:rPr>
                <w:color w:val="000000"/>
                <w:sz w:val="16"/>
                <w:szCs w:val="16"/>
              </w:rPr>
            </w:pPr>
            <w:r>
              <w:rPr>
                <w:color w:val="000000"/>
                <w:sz w:val="16"/>
                <w:szCs w:val="16"/>
              </w:rPr>
              <w:t>253.298,11</w:t>
            </w:r>
          </w:p>
        </w:tc>
        <w:tc>
          <w:tcPr>
            <w:tcW w:w="800" w:type="pct"/>
            <w:tcBorders>
              <w:top w:val="outset" w:sz="6" w:space="0" w:color="000000"/>
              <w:left w:val="outset" w:sz="6" w:space="0" w:color="000000"/>
              <w:bottom w:val="outset" w:sz="6" w:space="0" w:color="000000"/>
              <w:right w:val="outset" w:sz="6" w:space="0" w:color="000000"/>
            </w:tcBorders>
          </w:tcPr>
          <w:p w:rsidR="000D5E27" w:rsidRPr="00FF0D61" w:rsidRDefault="000D5E27" w:rsidP="00FF0D61">
            <w:pPr>
              <w:spacing w:before="100" w:beforeAutospacing="1"/>
              <w:jc w:val="center"/>
              <w:rPr>
                <w:color w:val="000000"/>
                <w:sz w:val="16"/>
                <w:szCs w:val="16"/>
              </w:rPr>
            </w:pPr>
            <w:r w:rsidRPr="00FF0D61">
              <w:rPr>
                <w:color w:val="000000"/>
                <w:sz w:val="16"/>
                <w:szCs w:val="16"/>
              </w:rPr>
              <w:t>8,</w:t>
            </w:r>
            <w:r w:rsidR="00F70C4C">
              <w:rPr>
                <w:color w:val="000000"/>
                <w:sz w:val="16"/>
                <w:szCs w:val="16"/>
              </w:rPr>
              <w:t>04</w:t>
            </w:r>
          </w:p>
        </w:tc>
      </w:tr>
      <w:tr w:rsidR="000D5E27" w:rsidRPr="00FF0D61" w:rsidTr="000D5E27">
        <w:trPr>
          <w:tblCellSpacing w:w="0" w:type="dxa"/>
          <w:jc w:val="center"/>
        </w:trPr>
        <w:tc>
          <w:tcPr>
            <w:tcW w:w="407" w:type="pct"/>
            <w:tcBorders>
              <w:top w:val="outset" w:sz="6" w:space="0" w:color="000000"/>
              <w:left w:val="outset" w:sz="6" w:space="0" w:color="000000"/>
              <w:bottom w:val="outset" w:sz="6" w:space="0" w:color="000000"/>
              <w:right w:val="outset" w:sz="6" w:space="0" w:color="000000"/>
            </w:tcBorders>
          </w:tcPr>
          <w:p w:rsidR="000D5E27" w:rsidRPr="00FF0D61" w:rsidRDefault="000D5E27" w:rsidP="00FF0D61">
            <w:pPr>
              <w:spacing w:before="100" w:beforeAutospacing="1"/>
              <w:rPr>
                <w:color w:val="000000"/>
                <w:sz w:val="16"/>
                <w:szCs w:val="16"/>
              </w:rPr>
            </w:pPr>
            <w:r w:rsidRPr="00FF0D61">
              <w:rPr>
                <w:color w:val="000000"/>
                <w:sz w:val="16"/>
                <w:szCs w:val="16"/>
              </w:rPr>
              <w:t>2024.</w:t>
            </w:r>
          </w:p>
        </w:tc>
        <w:tc>
          <w:tcPr>
            <w:tcW w:w="657" w:type="pct"/>
            <w:tcBorders>
              <w:top w:val="outset" w:sz="6" w:space="0" w:color="000000"/>
              <w:left w:val="outset" w:sz="6" w:space="0" w:color="000000"/>
              <w:bottom w:val="outset" w:sz="6" w:space="0" w:color="000000"/>
              <w:right w:val="outset" w:sz="6" w:space="0" w:color="000000"/>
            </w:tcBorders>
          </w:tcPr>
          <w:p w:rsidR="000D5E27" w:rsidRPr="00FF0D61" w:rsidRDefault="000D5E27" w:rsidP="00FF0D61">
            <w:pPr>
              <w:spacing w:before="100" w:beforeAutospacing="1"/>
              <w:jc w:val="center"/>
              <w:rPr>
                <w:color w:val="000000"/>
                <w:sz w:val="16"/>
                <w:szCs w:val="16"/>
              </w:rPr>
            </w:pPr>
            <w:r w:rsidRPr="00FF0D61">
              <w:rPr>
                <w:color w:val="000000"/>
                <w:sz w:val="16"/>
                <w:szCs w:val="16"/>
              </w:rPr>
              <w:t>3.589.131,48</w:t>
            </w:r>
          </w:p>
        </w:tc>
        <w:tc>
          <w:tcPr>
            <w:tcW w:w="602" w:type="pct"/>
            <w:tcBorders>
              <w:top w:val="outset" w:sz="6" w:space="0" w:color="000000"/>
              <w:left w:val="outset" w:sz="6" w:space="0" w:color="000000"/>
              <w:bottom w:val="outset" w:sz="6" w:space="0" w:color="000000"/>
              <w:right w:val="outset" w:sz="6" w:space="0" w:color="000000"/>
            </w:tcBorders>
          </w:tcPr>
          <w:p w:rsidR="000D5E27" w:rsidRPr="00FF0D61" w:rsidRDefault="000D5E27" w:rsidP="00FF0D61">
            <w:pPr>
              <w:spacing w:before="100" w:beforeAutospacing="1"/>
              <w:jc w:val="right"/>
              <w:rPr>
                <w:bCs/>
                <w:color w:val="000000"/>
                <w:sz w:val="16"/>
                <w:szCs w:val="16"/>
              </w:rPr>
            </w:pPr>
            <w:r w:rsidRPr="00FF0D61">
              <w:rPr>
                <w:bCs/>
                <w:color w:val="000000"/>
                <w:sz w:val="16"/>
                <w:szCs w:val="16"/>
              </w:rPr>
              <w:t>520.342,96</w:t>
            </w:r>
          </w:p>
        </w:tc>
        <w:tc>
          <w:tcPr>
            <w:tcW w:w="602" w:type="pct"/>
            <w:tcBorders>
              <w:top w:val="outset" w:sz="6" w:space="0" w:color="000000"/>
              <w:left w:val="outset" w:sz="6" w:space="0" w:color="000000"/>
              <w:bottom w:val="outset" w:sz="6" w:space="0" w:color="000000"/>
              <w:right w:val="outset" w:sz="6" w:space="0" w:color="000000"/>
            </w:tcBorders>
          </w:tcPr>
          <w:p w:rsidR="000D5E27" w:rsidRPr="00FF0D61" w:rsidRDefault="000D5E27" w:rsidP="00FF0D61">
            <w:pPr>
              <w:spacing w:before="100" w:beforeAutospacing="1"/>
              <w:jc w:val="center"/>
              <w:rPr>
                <w:color w:val="000000"/>
                <w:sz w:val="16"/>
                <w:szCs w:val="16"/>
              </w:rPr>
            </w:pPr>
            <w:r w:rsidRPr="00FF0D61">
              <w:rPr>
                <w:color w:val="000000"/>
                <w:sz w:val="16"/>
                <w:szCs w:val="16"/>
              </w:rPr>
              <w:t>14,50</w:t>
            </w:r>
          </w:p>
        </w:tc>
        <w:tc>
          <w:tcPr>
            <w:tcW w:w="602" w:type="pct"/>
            <w:tcBorders>
              <w:top w:val="outset" w:sz="6" w:space="0" w:color="000000"/>
              <w:left w:val="outset" w:sz="6" w:space="0" w:color="000000"/>
              <w:bottom w:val="outset" w:sz="6" w:space="0" w:color="000000"/>
              <w:right w:val="outset" w:sz="6" w:space="0" w:color="000000"/>
            </w:tcBorders>
          </w:tcPr>
          <w:p w:rsidR="000D5E27" w:rsidRPr="00FF0D61" w:rsidRDefault="000D5E27" w:rsidP="00FF0D61">
            <w:pPr>
              <w:spacing w:before="100" w:beforeAutospacing="1"/>
              <w:jc w:val="right"/>
              <w:rPr>
                <w:bCs/>
                <w:color w:val="000000"/>
                <w:sz w:val="16"/>
                <w:szCs w:val="16"/>
              </w:rPr>
            </w:pPr>
            <w:r>
              <w:rPr>
                <w:bCs/>
                <w:color w:val="000000"/>
                <w:sz w:val="16"/>
                <w:szCs w:val="16"/>
              </w:rPr>
              <w:t>35.845,40</w:t>
            </w:r>
          </w:p>
        </w:tc>
        <w:tc>
          <w:tcPr>
            <w:tcW w:w="601" w:type="pct"/>
            <w:tcBorders>
              <w:top w:val="outset" w:sz="6" w:space="0" w:color="000000"/>
              <w:left w:val="outset" w:sz="6" w:space="0" w:color="000000"/>
              <w:bottom w:val="outset" w:sz="6" w:space="0" w:color="000000"/>
              <w:right w:val="outset" w:sz="6" w:space="0" w:color="000000"/>
            </w:tcBorders>
          </w:tcPr>
          <w:p w:rsidR="000D5E27" w:rsidRPr="00FF0D61" w:rsidRDefault="000D5E27" w:rsidP="00FF0D61">
            <w:pPr>
              <w:spacing w:before="100" w:beforeAutospacing="1"/>
              <w:jc w:val="right"/>
              <w:rPr>
                <w:color w:val="000000"/>
                <w:sz w:val="16"/>
                <w:szCs w:val="16"/>
              </w:rPr>
            </w:pPr>
            <w:r>
              <w:rPr>
                <w:sz w:val="16"/>
                <w:szCs w:val="16"/>
              </w:rPr>
              <w:t>259.903,82</w:t>
            </w:r>
          </w:p>
        </w:tc>
        <w:tc>
          <w:tcPr>
            <w:tcW w:w="729" w:type="pct"/>
            <w:tcBorders>
              <w:top w:val="outset" w:sz="6" w:space="0" w:color="000000"/>
              <w:left w:val="outset" w:sz="6" w:space="0" w:color="000000"/>
              <w:bottom w:val="outset" w:sz="6" w:space="0" w:color="000000"/>
              <w:right w:val="outset" w:sz="6" w:space="0" w:color="000000"/>
            </w:tcBorders>
          </w:tcPr>
          <w:p w:rsidR="000D5E27" w:rsidRPr="00FF0D61" w:rsidRDefault="00020FF9" w:rsidP="00FF0D61">
            <w:pPr>
              <w:spacing w:before="100" w:beforeAutospacing="1"/>
              <w:jc w:val="right"/>
              <w:rPr>
                <w:color w:val="000000"/>
                <w:sz w:val="16"/>
                <w:szCs w:val="16"/>
              </w:rPr>
            </w:pPr>
            <w:r>
              <w:rPr>
                <w:color w:val="000000"/>
                <w:sz w:val="16"/>
                <w:szCs w:val="16"/>
              </w:rPr>
              <w:t>295.749,22</w:t>
            </w:r>
          </w:p>
        </w:tc>
        <w:tc>
          <w:tcPr>
            <w:tcW w:w="800" w:type="pct"/>
            <w:tcBorders>
              <w:top w:val="outset" w:sz="6" w:space="0" w:color="000000"/>
              <w:left w:val="outset" w:sz="6" w:space="0" w:color="000000"/>
              <w:bottom w:val="outset" w:sz="6" w:space="0" w:color="000000"/>
              <w:right w:val="outset" w:sz="6" w:space="0" w:color="000000"/>
            </w:tcBorders>
          </w:tcPr>
          <w:p w:rsidR="000D5E27" w:rsidRPr="00FF0D61" w:rsidRDefault="00020FF9" w:rsidP="00FF0D61">
            <w:pPr>
              <w:spacing w:before="100" w:beforeAutospacing="1"/>
              <w:jc w:val="center"/>
              <w:rPr>
                <w:color w:val="000000"/>
                <w:sz w:val="16"/>
                <w:szCs w:val="16"/>
              </w:rPr>
            </w:pPr>
            <w:r>
              <w:rPr>
                <w:color w:val="000000"/>
                <w:sz w:val="16"/>
                <w:szCs w:val="16"/>
              </w:rPr>
              <w:t>8,24</w:t>
            </w:r>
          </w:p>
        </w:tc>
      </w:tr>
      <w:tr w:rsidR="0029598D" w:rsidRPr="00FF0D61" w:rsidTr="000D5E27">
        <w:trPr>
          <w:tblCellSpacing w:w="0" w:type="dxa"/>
          <w:jc w:val="center"/>
        </w:trPr>
        <w:tc>
          <w:tcPr>
            <w:tcW w:w="407" w:type="pct"/>
            <w:tcBorders>
              <w:top w:val="outset" w:sz="6" w:space="0" w:color="000000"/>
              <w:left w:val="outset" w:sz="6" w:space="0" w:color="000000"/>
              <w:bottom w:val="outset" w:sz="6" w:space="0" w:color="000000"/>
              <w:right w:val="outset" w:sz="6" w:space="0" w:color="000000"/>
            </w:tcBorders>
          </w:tcPr>
          <w:p w:rsidR="0029598D" w:rsidRPr="00FF0D61" w:rsidRDefault="0029598D" w:rsidP="00FF0D61">
            <w:pPr>
              <w:spacing w:before="100" w:beforeAutospacing="1"/>
              <w:rPr>
                <w:color w:val="000000"/>
                <w:sz w:val="16"/>
                <w:szCs w:val="16"/>
              </w:rPr>
            </w:pPr>
            <w:r>
              <w:rPr>
                <w:color w:val="000000"/>
                <w:sz w:val="16"/>
                <w:szCs w:val="16"/>
              </w:rPr>
              <w:t>2025.</w:t>
            </w:r>
          </w:p>
        </w:tc>
        <w:tc>
          <w:tcPr>
            <w:tcW w:w="657" w:type="pct"/>
            <w:tcBorders>
              <w:top w:val="outset" w:sz="6" w:space="0" w:color="000000"/>
              <w:left w:val="outset" w:sz="6" w:space="0" w:color="000000"/>
              <w:bottom w:val="outset" w:sz="6" w:space="0" w:color="000000"/>
              <w:right w:val="outset" w:sz="6" w:space="0" w:color="000000"/>
            </w:tcBorders>
          </w:tcPr>
          <w:p w:rsidR="0029598D" w:rsidRPr="00FF0D61" w:rsidRDefault="0029598D" w:rsidP="00FF0D61">
            <w:pPr>
              <w:spacing w:before="100" w:beforeAutospacing="1"/>
              <w:jc w:val="center"/>
              <w:rPr>
                <w:color w:val="000000"/>
                <w:sz w:val="16"/>
                <w:szCs w:val="16"/>
              </w:rPr>
            </w:pPr>
            <w:r>
              <w:rPr>
                <w:color w:val="000000"/>
                <w:sz w:val="16"/>
                <w:szCs w:val="16"/>
              </w:rPr>
              <w:t>3.788.507,12</w:t>
            </w:r>
          </w:p>
        </w:tc>
        <w:tc>
          <w:tcPr>
            <w:tcW w:w="602" w:type="pct"/>
            <w:tcBorders>
              <w:top w:val="outset" w:sz="6" w:space="0" w:color="000000"/>
              <w:left w:val="outset" w:sz="6" w:space="0" w:color="000000"/>
              <w:bottom w:val="outset" w:sz="6" w:space="0" w:color="000000"/>
              <w:right w:val="outset" w:sz="6" w:space="0" w:color="000000"/>
            </w:tcBorders>
          </w:tcPr>
          <w:p w:rsidR="0029598D" w:rsidRPr="00FF0D61" w:rsidRDefault="0029598D" w:rsidP="00FF0D61">
            <w:pPr>
              <w:spacing w:before="100" w:beforeAutospacing="1"/>
              <w:jc w:val="right"/>
              <w:rPr>
                <w:bCs/>
                <w:color w:val="000000"/>
                <w:sz w:val="16"/>
                <w:szCs w:val="16"/>
              </w:rPr>
            </w:pPr>
            <w:r>
              <w:rPr>
                <w:bCs/>
                <w:color w:val="000000"/>
                <w:sz w:val="16"/>
                <w:szCs w:val="16"/>
              </w:rPr>
              <w:t>548.060,43</w:t>
            </w:r>
          </w:p>
        </w:tc>
        <w:tc>
          <w:tcPr>
            <w:tcW w:w="602" w:type="pct"/>
            <w:tcBorders>
              <w:top w:val="outset" w:sz="6" w:space="0" w:color="000000"/>
              <w:left w:val="outset" w:sz="6" w:space="0" w:color="000000"/>
              <w:bottom w:val="outset" w:sz="6" w:space="0" w:color="000000"/>
              <w:right w:val="outset" w:sz="6" w:space="0" w:color="000000"/>
            </w:tcBorders>
          </w:tcPr>
          <w:p w:rsidR="0029598D" w:rsidRPr="00FF0D61" w:rsidRDefault="0029598D" w:rsidP="00FF0D61">
            <w:pPr>
              <w:spacing w:before="100" w:beforeAutospacing="1"/>
              <w:jc w:val="center"/>
              <w:rPr>
                <w:color w:val="000000"/>
                <w:sz w:val="16"/>
                <w:szCs w:val="16"/>
              </w:rPr>
            </w:pPr>
            <w:r>
              <w:rPr>
                <w:color w:val="000000"/>
                <w:sz w:val="16"/>
                <w:szCs w:val="16"/>
              </w:rPr>
              <w:t>14,47</w:t>
            </w:r>
          </w:p>
        </w:tc>
        <w:tc>
          <w:tcPr>
            <w:tcW w:w="602" w:type="pct"/>
            <w:tcBorders>
              <w:top w:val="outset" w:sz="6" w:space="0" w:color="000000"/>
              <w:left w:val="outset" w:sz="6" w:space="0" w:color="000000"/>
              <w:bottom w:val="outset" w:sz="6" w:space="0" w:color="000000"/>
              <w:right w:val="outset" w:sz="6" w:space="0" w:color="000000"/>
            </w:tcBorders>
          </w:tcPr>
          <w:p w:rsidR="0029598D" w:rsidRDefault="0029598D" w:rsidP="00FF0D61">
            <w:pPr>
              <w:spacing w:before="100" w:beforeAutospacing="1"/>
              <w:jc w:val="right"/>
              <w:rPr>
                <w:bCs/>
                <w:color w:val="000000"/>
                <w:sz w:val="16"/>
                <w:szCs w:val="16"/>
              </w:rPr>
            </w:pPr>
            <w:r>
              <w:rPr>
                <w:bCs/>
                <w:color w:val="000000"/>
                <w:sz w:val="16"/>
                <w:szCs w:val="16"/>
              </w:rPr>
              <w:t>46.931,35</w:t>
            </w:r>
          </w:p>
        </w:tc>
        <w:tc>
          <w:tcPr>
            <w:tcW w:w="601" w:type="pct"/>
            <w:tcBorders>
              <w:top w:val="outset" w:sz="6" w:space="0" w:color="000000"/>
              <w:left w:val="outset" w:sz="6" w:space="0" w:color="000000"/>
              <w:bottom w:val="outset" w:sz="6" w:space="0" w:color="000000"/>
              <w:right w:val="outset" w:sz="6" w:space="0" w:color="000000"/>
            </w:tcBorders>
          </w:tcPr>
          <w:p w:rsidR="0029598D" w:rsidRDefault="0029598D" w:rsidP="00FF0D61">
            <w:pPr>
              <w:spacing w:before="100" w:beforeAutospacing="1"/>
              <w:jc w:val="right"/>
              <w:rPr>
                <w:sz w:val="16"/>
                <w:szCs w:val="16"/>
              </w:rPr>
            </w:pPr>
            <w:r>
              <w:rPr>
                <w:sz w:val="16"/>
                <w:szCs w:val="16"/>
              </w:rPr>
              <w:t>339.900,56</w:t>
            </w:r>
          </w:p>
        </w:tc>
        <w:tc>
          <w:tcPr>
            <w:tcW w:w="729" w:type="pct"/>
            <w:tcBorders>
              <w:top w:val="outset" w:sz="6" w:space="0" w:color="000000"/>
              <w:left w:val="outset" w:sz="6" w:space="0" w:color="000000"/>
              <w:bottom w:val="outset" w:sz="6" w:space="0" w:color="000000"/>
              <w:right w:val="outset" w:sz="6" w:space="0" w:color="000000"/>
            </w:tcBorders>
          </w:tcPr>
          <w:p w:rsidR="0029598D" w:rsidRDefault="0029598D" w:rsidP="00FF0D61">
            <w:pPr>
              <w:spacing w:before="100" w:beforeAutospacing="1"/>
              <w:jc w:val="right"/>
              <w:rPr>
                <w:color w:val="000000"/>
                <w:sz w:val="16"/>
                <w:szCs w:val="16"/>
              </w:rPr>
            </w:pPr>
            <w:r>
              <w:rPr>
                <w:color w:val="000000"/>
                <w:sz w:val="16"/>
                <w:szCs w:val="16"/>
              </w:rPr>
              <w:t>386.831,91</w:t>
            </w:r>
          </w:p>
        </w:tc>
        <w:tc>
          <w:tcPr>
            <w:tcW w:w="800" w:type="pct"/>
            <w:tcBorders>
              <w:top w:val="outset" w:sz="6" w:space="0" w:color="000000"/>
              <w:left w:val="outset" w:sz="6" w:space="0" w:color="000000"/>
              <w:bottom w:val="outset" w:sz="6" w:space="0" w:color="000000"/>
              <w:right w:val="outset" w:sz="6" w:space="0" w:color="000000"/>
            </w:tcBorders>
          </w:tcPr>
          <w:p w:rsidR="0029598D" w:rsidRDefault="0029598D" w:rsidP="00FF0D61">
            <w:pPr>
              <w:spacing w:before="100" w:beforeAutospacing="1"/>
              <w:jc w:val="center"/>
              <w:rPr>
                <w:color w:val="000000"/>
                <w:sz w:val="16"/>
                <w:szCs w:val="16"/>
              </w:rPr>
            </w:pPr>
            <w:r>
              <w:rPr>
                <w:color w:val="000000"/>
                <w:sz w:val="16"/>
                <w:szCs w:val="16"/>
              </w:rPr>
              <w:t>10,21</w:t>
            </w:r>
          </w:p>
        </w:tc>
      </w:tr>
    </w:tbl>
    <w:bookmarkEnd w:id="8"/>
    <w:p w:rsidR="00C87402" w:rsidRDefault="000C1E51" w:rsidP="00DE6593">
      <w:r w:rsidRPr="000C1E51">
        <w:rPr>
          <w:b/>
          <w:u w:val="single"/>
        </w:rPr>
        <w:lastRenderedPageBreak/>
        <w:t>2</w:t>
      </w:r>
      <w:r>
        <w:rPr>
          <w:b/>
          <w:u w:val="single"/>
        </w:rPr>
        <w:t>.</w:t>
      </w:r>
      <w:r w:rsidRPr="000C1E51">
        <w:rPr>
          <w:b/>
          <w:u w:val="single"/>
        </w:rPr>
        <w:t xml:space="preserve"> Materijalni rashodi (32)</w:t>
      </w:r>
      <w:r w:rsidRPr="000C1E51">
        <w:t xml:space="preserve"> </w:t>
      </w:r>
    </w:p>
    <w:p w:rsidR="004354BA" w:rsidRDefault="004354BA" w:rsidP="00DE6593"/>
    <w:p w:rsidR="00C87402" w:rsidRDefault="00C87402" w:rsidP="00DE6593">
      <w:r w:rsidRPr="00194692">
        <w:t>Materijalni rashodi u 202</w:t>
      </w:r>
      <w:r>
        <w:t>5</w:t>
      </w:r>
      <w:r w:rsidRPr="00194692">
        <w:t xml:space="preserve">. godine izvršeni su u iznosu od </w:t>
      </w:r>
      <w:r w:rsidR="00762C5E">
        <w:t>959.966,36</w:t>
      </w:r>
      <w:r w:rsidRPr="00194692">
        <w:t xml:space="preserve"> eura, što predstavlja </w:t>
      </w:r>
      <w:r w:rsidR="00762C5E">
        <w:t>89,42</w:t>
      </w:r>
      <w:r w:rsidRPr="00194692">
        <w:t>% planiranih sredstava.</w:t>
      </w:r>
      <w:r w:rsidR="001245F4">
        <w:t xml:space="preserve"> Veći su za </w:t>
      </w:r>
      <w:r w:rsidR="00762C5E">
        <w:t>35,09</w:t>
      </w:r>
      <w:r w:rsidR="001245F4">
        <w:t>% u odnosu na isto razdoblje prethodne godine.</w:t>
      </w:r>
    </w:p>
    <w:p w:rsidR="00DE6593" w:rsidRDefault="00DE6593" w:rsidP="00DE6593">
      <w:r>
        <w:t>Sastoje se od naknada troškova zaposlenima, rashoda za materijal i energiju, rashoda za usluge i ostalih nespomenutih rashoda.</w:t>
      </w:r>
    </w:p>
    <w:p w:rsidR="004354BA" w:rsidRDefault="004354BA" w:rsidP="000C1E51"/>
    <w:p w:rsidR="0013321E" w:rsidRDefault="000C1E51" w:rsidP="000C1E51">
      <w:r>
        <w:t xml:space="preserve">- </w:t>
      </w:r>
      <w:r w:rsidRPr="00DB3B0E">
        <w:rPr>
          <w:u w:val="single"/>
        </w:rPr>
        <w:t>321 Naknade troškova zaposlenima</w:t>
      </w:r>
      <w:r>
        <w:t xml:space="preserve"> </w:t>
      </w:r>
      <w:r w:rsidR="001245F4">
        <w:t>su izvršen</w:t>
      </w:r>
      <w:r w:rsidR="00C11914">
        <w:t>e</w:t>
      </w:r>
      <w:r w:rsidR="001245F4">
        <w:t xml:space="preserve"> u iznosu od</w:t>
      </w:r>
      <w:r>
        <w:t xml:space="preserve"> </w:t>
      </w:r>
      <w:r w:rsidR="00762C5E">
        <w:t>19.078,03</w:t>
      </w:r>
      <w:r w:rsidR="001245F4">
        <w:t xml:space="preserve"> eura</w:t>
      </w:r>
      <w:r>
        <w:t xml:space="preserve"> i </w:t>
      </w:r>
      <w:r w:rsidR="001245F4">
        <w:t>veće</w:t>
      </w:r>
      <w:r>
        <w:t xml:space="preserve"> su za</w:t>
      </w:r>
      <w:r w:rsidR="001245F4">
        <w:t xml:space="preserve"> </w:t>
      </w:r>
      <w:r w:rsidR="00762C5E">
        <w:t>64,30</w:t>
      </w:r>
      <w:r>
        <w:t>% u odnosu na isto razdoblje prethodne godine.</w:t>
      </w:r>
      <w:r w:rsidR="00DB3B0E">
        <w:t xml:space="preserve"> Odnose se na rashode za službena putovanja, naknade za prijevoz</w:t>
      </w:r>
      <w:r w:rsidR="00762C5E">
        <w:t xml:space="preserve"> na posao i s posla,</w:t>
      </w:r>
      <w:r w:rsidR="00DB3B0E">
        <w:t xml:space="preserve"> stručno usavršavanje zaposlenika</w:t>
      </w:r>
      <w:r w:rsidR="00762C5E">
        <w:t xml:space="preserve"> i naknadu za korištenje privatnog automobila u službene svrhe</w:t>
      </w:r>
      <w:r w:rsidR="00DB3B0E">
        <w:t>.</w:t>
      </w:r>
      <w:r w:rsidR="00B56DF6">
        <w:t xml:space="preserve"> </w:t>
      </w:r>
    </w:p>
    <w:p w:rsidR="00AA4F9A" w:rsidRDefault="00AA4F9A" w:rsidP="0076533D">
      <w:pPr>
        <w:pStyle w:val="ListParagraph"/>
        <w:numPr>
          <w:ilvl w:val="0"/>
          <w:numId w:val="6"/>
        </w:numPr>
      </w:pPr>
      <w:r>
        <w:t>3211 Službena putovanja - rashodi za službena putovanja iznosili su 3.348,62 eura i manji su u odnosu na godinu ranije za 17,58%.</w:t>
      </w:r>
    </w:p>
    <w:p w:rsidR="00D834C2" w:rsidRDefault="00AA4F9A" w:rsidP="0076533D">
      <w:pPr>
        <w:pStyle w:val="ListParagraph"/>
        <w:numPr>
          <w:ilvl w:val="0"/>
          <w:numId w:val="6"/>
        </w:numPr>
      </w:pPr>
      <w:r>
        <w:t xml:space="preserve">3212 </w:t>
      </w:r>
      <w:r w:rsidR="00245A36">
        <w:t>Naknade za prijevoz na posao i s posla i rad na terenu</w:t>
      </w:r>
      <w:r>
        <w:t xml:space="preserve"> iznosile su 8.621,90 eura.</w:t>
      </w:r>
      <w:r w:rsidR="00245A36">
        <w:t xml:space="preserve"> </w:t>
      </w:r>
      <w:r>
        <w:t>U</w:t>
      </w:r>
      <w:r w:rsidR="00245A36">
        <w:t xml:space="preserve"> ovoj godini</w:t>
      </w:r>
      <w:r>
        <w:t xml:space="preserve"> su</w:t>
      </w:r>
      <w:r w:rsidR="00245A36">
        <w:t xml:space="preserve"> veće</w:t>
      </w:r>
      <w:r>
        <w:t xml:space="preserve"> za 66,10%</w:t>
      </w:r>
      <w:r w:rsidR="00245A36">
        <w:t xml:space="preserve"> u odnosu na </w:t>
      </w:r>
      <w:r>
        <w:t>isto razdoblje</w:t>
      </w:r>
      <w:r w:rsidR="00090261">
        <w:t xml:space="preserve"> prošle godine</w:t>
      </w:r>
      <w:r w:rsidR="00245A36">
        <w:t xml:space="preserve"> iz razloga što zaposlen</w:t>
      </w:r>
      <w:r>
        <w:t xml:space="preserve">ice </w:t>
      </w:r>
      <w:r w:rsidR="00245A36">
        <w:t>na Projektu „Zaželi  - nisi sam“</w:t>
      </w:r>
      <w:r w:rsidR="00C11914">
        <w:t xml:space="preserve"> </w:t>
      </w:r>
      <w:r>
        <w:t>primaju ovu naknadu za cijelu 2025. dok su u 2024. primali za dio godine od kad su se zaposlile</w:t>
      </w:r>
      <w:r w:rsidR="00A1662E" w:rsidRPr="00A1662E">
        <w:t xml:space="preserve"> </w:t>
      </w:r>
      <w:r w:rsidR="00A1662E">
        <w:t xml:space="preserve">i </w:t>
      </w:r>
      <w:r w:rsidR="00D834C2">
        <w:t xml:space="preserve">zaposlena je </w:t>
      </w:r>
      <w:r w:rsidR="00A1662E">
        <w:t>službenica</w:t>
      </w:r>
      <w:r w:rsidR="00D834C2">
        <w:t xml:space="preserve"> u</w:t>
      </w:r>
      <w:r w:rsidR="00A1662E">
        <w:t xml:space="preserve"> Općin</w:t>
      </w:r>
      <w:r w:rsidR="00D834C2">
        <w:t>i</w:t>
      </w:r>
      <w:r>
        <w:t xml:space="preserve"> u ožujku 2025. a koja ima pravo na troškove prijevoza</w:t>
      </w:r>
      <w:r w:rsidR="00245A36">
        <w:t xml:space="preserve">. </w:t>
      </w:r>
    </w:p>
    <w:p w:rsidR="00B56DF6" w:rsidRDefault="00D834C2" w:rsidP="0076533D">
      <w:pPr>
        <w:pStyle w:val="ListParagraph"/>
        <w:numPr>
          <w:ilvl w:val="0"/>
          <w:numId w:val="6"/>
        </w:numPr>
      </w:pPr>
      <w:r>
        <w:t xml:space="preserve">3213 </w:t>
      </w:r>
      <w:r w:rsidR="00B56DF6">
        <w:t>Rashodi za stručno usavršavanje zaposlenika</w:t>
      </w:r>
      <w:r>
        <w:t xml:space="preserve"> iznosili su 5.192,01 eura i veći su u odnosu na godinu ranije za 120,18%</w:t>
      </w:r>
      <w:r w:rsidR="00B56DF6">
        <w:t xml:space="preserve"> iz razloga što je pomorski redar išao na polaganje </w:t>
      </w:r>
      <w:r w:rsidR="00245A36">
        <w:t>državnog</w:t>
      </w:r>
      <w:r w:rsidR="00B56DF6">
        <w:t xml:space="preserve"> ispita</w:t>
      </w:r>
      <w:r w:rsidR="00245A36">
        <w:t>, a prometni redar je sudjelovao na tečaju i polagao je ispit za prometnog redara u Zagrebu</w:t>
      </w:r>
      <w:r w:rsidR="00B56DF6">
        <w:t>.</w:t>
      </w:r>
      <w:r w:rsidR="00AC663E">
        <w:t xml:space="preserve"> Odnose se također i na seminare zaposlenika Općine i proračunskih korisnika.</w:t>
      </w:r>
    </w:p>
    <w:p w:rsidR="00AC663E" w:rsidRDefault="00AC663E" w:rsidP="0076533D">
      <w:pPr>
        <w:numPr>
          <w:ilvl w:val="0"/>
          <w:numId w:val="8"/>
        </w:numPr>
        <w:spacing w:after="33" w:line="247" w:lineRule="auto"/>
        <w:ind w:right="10"/>
        <w:rPr>
          <w:sz w:val="22"/>
        </w:rPr>
      </w:pPr>
      <w:r>
        <w:t xml:space="preserve">3214 Ostale naknade troškova zaposlenima odnose se na naknade za korištenje privatnog automobila u službene svrhe koje su iznosile 1.915,50 eura. Isplaćene su zaposlenima u Upravnom odjelu za  imovinsko-pravne poslove, gospodarenje prostorom i komunalne djelatnosti. </w:t>
      </w:r>
    </w:p>
    <w:p w:rsidR="00AF4B88" w:rsidRDefault="00AF4B88" w:rsidP="000C1E51"/>
    <w:p w:rsidR="00DB3B0E" w:rsidRDefault="00FD26BB" w:rsidP="000C1E51">
      <w:r>
        <w:t xml:space="preserve">- </w:t>
      </w:r>
      <w:r w:rsidRPr="00FD26BB">
        <w:rPr>
          <w:u w:val="single"/>
        </w:rPr>
        <w:t>322 Rashodi za materijal i energiju</w:t>
      </w:r>
      <w:r>
        <w:t xml:space="preserve"> </w:t>
      </w:r>
      <w:r w:rsidR="00C11914">
        <w:t xml:space="preserve">su iznosili </w:t>
      </w:r>
      <w:r w:rsidR="009D457F">
        <w:t xml:space="preserve">73.846,75 </w:t>
      </w:r>
      <w:r w:rsidR="00C11914">
        <w:t>eura</w:t>
      </w:r>
      <w:r>
        <w:t xml:space="preserve"> i </w:t>
      </w:r>
      <w:r w:rsidR="00B56DF6">
        <w:t>manji su</w:t>
      </w:r>
      <w:r w:rsidR="009D457F">
        <w:t xml:space="preserve"> za</w:t>
      </w:r>
      <w:r w:rsidR="00B56DF6">
        <w:t xml:space="preserve"> </w:t>
      </w:r>
      <w:r w:rsidR="009D457F">
        <w:t>10,59</w:t>
      </w:r>
      <w:r>
        <w:t>% u odnosu na isto razdoblje prethodne godine.</w:t>
      </w:r>
      <w:r w:rsidR="00A62152">
        <w:t xml:space="preserve"> Odnose se na uredski materijal i ostale materijalne rashode, materijal i sirovine, energiju, materijal i d</w:t>
      </w:r>
      <w:r w:rsidR="00584D22">
        <w:t>i</w:t>
      </w:r>
      <w:r w:rsidR="00A62152">
        <w:t>jelove za tekuće i investicijsko održavanje</w:t>
      </w:r>
      <w:r w:rsidR="009D457F">
        <w:t>,</w:t>
      </w:r>
      <w:r w:rsidR="00A62152">
        <w:t xml:space="preserve"> sitni inventar</w:t>
      </w:r>
      <w:r w:rsidR="009D457F">
        <w:t xml:space="preserve"> i službenu, radnu odjeću i obuću.</w:t>
      </w:r>
    </w:p>
    <w:p w:rsidR="00FD26BB" w:rsidRDefault="00FD26BB" w:rsidP="000C1E51"/>
    <w:p w:rsidR="009D457F" w:rsidRDefault="00FD26BB" w:rsidP="000C1E51">
      <w:r>
        <w:t xml:space="preserve">- </w:t>
      </w:r>
      <w:r w:rsidRPr="00FD26BB">
        <w:rPr>
          <w:u w:val="single"/>
        </w:rPr>
        <w:t>323 Rashodi za usluge</w:t>
      </w:r>
      <w:r>
        <w:t xml:space="preserve"> </w:t>
      </w:r>
      <w:r w:rsidR="00C11914">
        <w:t xml:space="preserve">su iznosili </w:t>
      </w:r>
      <w:r w:rsidR="009D457F">
        <w:t>802.251,20</w:t>
      </w:r>
      <w:r w:rsidR="00C11914">
        <w:t xml:space="preserve"> eura</w:t>
      </w:r>
      <w:r>
        <w:t xml:space="preserve"> i veći su za </w:t>
      </w:r>
      <w:r w:rsidR="009D457F">
        <w:t>40,21</w:t>
      </w:r>
      <w:r>
        <w:t>% u odnosu na isto razdoblje prethodne godine.</w:t>
      </w:r>
      <w:r w:rsidR="00A62152">
        <w:t xml:space="preserve"> Odnose se na</w:t>
      </w:r>
      <w:r w:rsidR="009D457F">
        <w:t>:</w:t>
      </w:r>
    </w:p>
    <w:p w:rsidR="00385AA3" w:rsidRDefault="00385AA3" w:rsidP="0076533D">
      <w:pPr>
        <w:pStyle w:val="ListParagraph"/>
        <w:numPr>
          <w:ilvl w:val="0"/>
          <w:numId w:val="7"/>
        </w:numPr>
      </w:pPr>
      <w:r>
        <w:t>3231 U</w:t>
      </w:r>
      <w:r w:rsidR="00A62152">
        <w:t>sluge telefona,</w:t>
      </w:r>
      <w:r w:rsidR="009D457F">
        <w:t xml:space="preserve"> interneta</w:t>
      </w:r>
      <w:r w:rsidR="00A62152">
        <w:t xml:space="preserve"> pošte i prijevoza</w:t>
      </w:r>
      <w:r>
        <w:t xml:space="preserve"> - izvršene su u iznosu od 17.529,36 eura (godinu ranije 19.816,89 eura)</w:t>
      </w:r>
      <w:r w:rsidR="00D279C1">
        <w:t>.</w:t>
      </w:r>
    </w:p>
    <w:p w:rsidR="00D673DF" w:rsidRPr="00D673DF" w:rsidRDefault="00385AA3" w:rsidP="0076533D">
      <w:pPr>
        <w:pStyle w:val="ListParagraph"/>
        <w:numPr>
          <w:ilvl w:val="0"/>
          <w:numId w:val="7"/>
        </w:numPr>
      </w:pPr>
      <w:r>
        <w:t>3232</w:t>
      </w:r>
      <w:r w:rsidR="00A62152">
        <w:t xml:space="preserve"> </w:t>
      </w:r>
      <w:r>
        <w:t>U</w:t>
      </w:r>
      <w:r w:rsidR="00A62152">
        <w:t>sluge tekućeg i investicijskog održavanja</w:t>
      </w:r>
      <w:r>
        <w:t xml:space="preserve"> - izvršene su u iznosu od 492.215,57 eura (godinu ranije 205.008,12 eura)</w:t>
      </w:r>
      <w:r w:rsidR="00540311">
        <w:t>. Odnose se na usluge održavanja javnih površina, nerazvrstanih cesta, groblja, javne rasvjete, javnih bicikala, održavanje građevinskih objekata i opreme, sanaciju postojeće obale i dr.</w:t>
      </w:r>
      <w:r w:rsidR="00D673DF">
        <w:t xml:space="preserve"> </w:t>
      </w:r>
      <w:r w:rsidR="00D673DF" w:rsidRPr="00D673DF">
        <w:t>Povećane su radi troškova održavanja nerazvrstanih cesta.</w:t>
      </w:r>
    </w:p>
    <w:p w:rsidR="00385AA3" w:rsidRDefault="00385AA3" w:rsidP="0076533D">
      <w:pPr>
        <w:pStyle w:val="ListParagraph"/>
        <w:numPr>
          <w:ilvl w:val="0"/>
          <w:numId w:val="7"/>
        </w:numPr>
      </w:pPr>
      <w:r>
        <w:t>3233 Usluge promidžbe i informiranja - izvršene su u iznosu od 139.154,86 eura (godinu ranije 110.307,94 eura)</w:t>
      </w:r>
      <w:r w:rsidR="00CE6991">
        <w:t>.</w:t>
      </w:r>
    </w:p>
    <w:p w:rsidR="00FE1EFC" w:rsidRDefault="00385AA3" w:rsidP="0076533D">
      <w:pPr>
        <w:pStyle w:val="ListParagraph"/>
        <w:numPr>
          <w:ilvl w:val="0"/>
          <w:numId w:val="7"/>
        </w:numPr>
      </w:pPr>
      <w:r>
        <w:t>3234 Komunalne usluge</w:t>
      </w:r>
      <w:r w:rsidR="00FE1EFC">
        <w:t xml:space="preserve"> - izvršene su u iznosu od 34.095,44 eura (godinu ranije 157.064,41 eura)</w:t>
      </w:r>
      <w:r w:rsidR="00D673DF">
        <w:t>. Odnose se na potrošnju vode, odvoz smeća, deratizaciju i dezinsekciju, odvodnju, zbrinjavanje napuštenih životinja, injektiranje palmi i ostale komunalne usluge. U 2025. godini su bili manji predmetni rashodi jer nije bilo troškova uklanjanja i zbrinjavanja glomaznog otpada kao godinu ranije</w:t>
      </w:r>
      <w:r w:rsidR="00CE6991">
        <w:t>.</w:t>
      </w:r>
    </w:p>
    <w:p w:rsidR="00FE1EFC" w:rsidRDefault="00FE1EFC" w:rsidP="0076533D">
      <w:pPr>
        <w:pStyle w:val="ListParagraph"/>
        <w:numPr>
          <w:ilvl w:val="0"/>
          <w:numId w:val="7"/>
        </w:numPr>
      </w:pPr>
      <w:r>
        <w:t>3235 Zakupnine i najamnine - izvršene su u iznosu od 6.884,00 eura (godinu ranije 1.623,00 eura)</w:t>
      </w:r>
      <w:r w:rsidR="00821F11">
        <w:t>. Odnose se na zakup prostora za potrebe vrtića koji je u fazi rekonstrukcije</w:t>
      </w:r>
      <w:r w:rsidR="00CE6991">
        <w:t>.</w:t>
      </w:r>
    </w:p>
    <w:p w:rsidR="00FE1EFC" w:rsidRDefault="00FE1EFC" w:rsidP="0076533D">
      <w:pPr>
        <w:pStyle w:val="ListParagraph"/>
        <w:numPr>
          <w:ilvl w:val="0"/>
          <w:numId w:val="7"/>
        </w:numPr>
      </w:pPr>
      <w:r>
        <w:t>3236 Zdravstvene i veterinarske usluge - izvršene su u iznosu od 1.237,90 eura (godinu ranije 1.541,89 eura)</w:t>
      </w:r>
      <w:r w:rsidR="00821F11">
        <w:t>. Odnose se na zdravstvene preglede zaposlenih u DV Radost i Knjižnici</w:t>
      </w:r>
      <w:r w:rsidR="00CE6991">
        <w:t>.</w:t>
      </w:r>
    </w:p>
    <w:p w:rsidR="00FE1EFC" w:rsidRDefault="00FE1EFC" w:rsidP="0076533D">
      <w:pPr>
        <w:pStyle w:val="ListParagraph"/>
        <w:numPr>
          <w:ilvl w:val="0"/>
          <w:numId w:val="7"/>
        </w:numPr>
      </w:pPr>
      <w:r>
        <w:t>3237 Intelektualne i osobne usluge  - izvršene su u iznosu od 23.612,89 eura (godinu ranije 17.952,83 eura)</w:t>
      </w:r>
      <w:r w:rsidR="00CE6991">
        <w:t>.</w:t>
      </w:r>
    </w:p>
    <w:p w:rsidR="00FE1EFC" w:rsidRDefault="00FE1EFC" w:rsidP="0076533D">
      <w:pPr>
        <w:pStyle w:val="ListParagraph"/>
        <w:numPr>
          <w:ilvl w:val="0"/>
          <w:numId w:val="7"/>
        </w:numPr>
      </w:pPr>
      <w:r>
        <w:t>3238 Računalne usluge - izvršene su u iznosu od 28.135,29 eura (godinu ranije</w:t>
      </w:r>
      <w:r w:rsidR="00821F11">
        <w:t xml:space="preserve"> </w:t>
      </w:r>
      <w:r>
        <w:t>24.539,90 eura)</w:t>
      </w:r>
      <w:r w:rsidR="00CE6991">
        <w:t>.</w:t>
      </w:r>
    </w:p>
    <w:p w:rsidR="00FE1EFC" w:rsidRDefault="00FE1EFC" w:rsidP="0076533D">
      <w:pPr>
        <w:pStyle w:val="ListParagraph"/>
        <w:numPr>
          <w:ilvl w:val="0"/>
          <w:numId w:val="7"/>
        </w:numPr>
      </w:pPr>
      <w:r>
        <w:lastRenderedPageBreak/>
        <w:t>3239 Ostale usluge - izvršene su u iznosu od 59.385,89 eura (godinu ranije 34.337,71 eura).</w:t>
      </w:r>
      <w:r w:rsidR="00821F11">
        <w:t xml:space="preserve"> Odnose se na grafičke, tiskarske usluge, usluge čišćenja, naknadu Poreznoj upravi za usluge naplate poreznih prihoda</w:t>
      </w:r>
      <w:r w:rsidR="00A27630">
        <w:t xml:space="preserve">, </w:t>
      </w:r>
      <w:r w:rsidR="00821F11">
        <w:t xml:space="preserve">uređenje prostora javnog wc-a te ostale usluge na projektu Zaželi i </w:t>
      </w:r>
      <w:r w:rsidR="00CE6991">
        <w:t>kod</w:t>
      </w:r>
      <w:r w:rsidR="00821F11">
        <w:t xml:space="preserve"> proračunskih korisnika</w:t>
      </w:r>
      <w:r w:rsidR="00CE6991">
        <w:t>.</w:t>
      </w:r>
    </w:p>
    <w:p w:rsidR="00FE1EFC" w:rsidRDefault="00FE1EFC" w:rsidP="00FE1EFC">
      <w:pPr>
        <w:pStyle w:val="ListParagraph"/>
        <w:ind w:left="780"/>
      </w:pPr>
    </w:p>
    <w:p w:rsidR="00A62152" w:rsidRDefault="00FD26BB" w:rsidP="000C1E51">
      <w:r>
        <w:t>-</w:t>
      </w:r>
      <w:r w:rsidRPr="00FD26BB">
        <w:rPr>
          <w:u w:val="single"/>
        </w:rPr>
        <w:t>329 Ostali nespomenuti rashodi poslovanja</w:t>
      </w:r>
      <w:r>
        <w:t xml:space="preserve"> </w:t>
      </w:r>
      <w:r w:rsidR="00AB614E">
        <w:t xml:space="preserve">su iznosili </w:t>
      </w:r>
      <w:r w:rsidR="00FE1EFC">
        <w:t>64.790,38</w:t>
      </w:r>
      <w:r w:rsidR="00AB614E">
        <w:t xml:space="preserve"> eura</w:t>
      </w:r>
      <w:r>
        <w:t xml:space="preserve"> i </w:t>
      </w:r>
      <w:r w:rsidR="00AB614E">
        <w:t>veći</w:t>
      </w:r>
      <w:r>
        <w:t xml:space="preserve"> su za </w:t>
      </w:r>
      <w:r w:rsidR="00FE1EFC">
        <w:t>46,62</w:t>
      </w:r>
      <w:r>
        <w:t>% u odnosu na isto razdoblje prethodne godine.</w:t>
      </w:r>
      <w:r w:rsidR="00416DB7">
        <w:t xml:space="preserve"> Odnose se na naknade za rad predstavničkih i izvršnih tijela, povjerenstava</w:t>
      </w:r>
      <w:r w:rsidR="00AB614E" w:rsidRPr="00AB614E">
        <w:t xml:space="preserve"> </w:t>
      </w:r>
      <w:r w:rsidR="00AB614E">
        <w:t xml:space="preserve">(u </w:t>
      </w:r>
      <w:r w:rsidR="00FE1EFC">
        <w:t>2025.</w:t>
      </w:r>
      <w:r w:rsidR="00AB614E">
        <w:t xml:space="preserve"> godini su bili lokalni izbori</w:t>
      </w:r>
      <w:r w:rsidR="00FE1EFC">
        <w:t xml:space="preserve"> </w:t>
      </w:r>
      <w:r w:rsidR="00540311">
        <w:t xml:space="preserve">na koje je potrošeno iz općinskog proračuna </w:t>
      </w:r>
      <w:r w:rsidR="00FE1EFC">
        <w:t>13.951,33 eura</w:t>
      </w:r>
      <w:r w:rsidR="00AB614E">
        <w:t>)</w:t>
      </w:r>
      <w:r w:rsidR="00416DB7">
        <w:t xml:space="preserve"> i sl., premije osiguranja, reprezentaciju, pristojbe i naknade</w:t>
      </w:r>
      <w:r w:rsidR="00B56DF6">
        <w:t>,</w:t>
      </w:r>
      <w:r w:rsidR="00416DB7">
        <w:t xml:space="preserve"> troškove sudskih postupaka i ostale nespomenute rashode poslovanja.</w:t>
      </w:r>
      <w:r w:rsidR="00EE0A96">
        <w:t xml:space="preserve"> </w:t>
      </w:r>
    </w:p>
    <w:p w:rsidR="00214DA2" w:rsidRDefault="00214DA2" w:rsidP="003F25CE">
      <w:pPr>
        <w:rPr>
          <w:b/>
          <w:u w:val="single"/>
        </w:rPr>
      </w:pPr>
    </w:p>
    <w:p w:rsidR="00A94A51" w:rsidRDefault="00EE0A96" w:rsidP="003F25CE">
      <w:r>
        <w:rPr>
          <w:b/>
          <w:u w:val="single"/>
        </w:rPr>
        <w:t>3.</w:t>
      </w:r>
      <w:r w:rsidR="000C1E51" w:rsidRPr="00EE0A96">
        <w:rPr>
          <w:b/>
          <w:u w:val="single"/>
        </w:rPr>
        <w:t xml:space="preserve"> Financijski rashodi (34)</w:t>
      </w:r>
      <w:r w:rsidR="000C1E51" w:rsidRPr="000C1E51">
        <w:t xml:space="preserve"> </w:t>
      </w:r>
    </w:p>
    <w:p w:rsidR="004354BA" w:rsidRDefault="004354BA" w:rsidP="003F25CE"/>
    <w:p w:rsidR="00B430D1" w:rsidRDefault="00A94A51" w:rsidP="003F25CE">
      <w:r w:rsidRPr="00194692">
        <w:t>Financijski rashodi u 202</w:t>
      </w:r>
      <w:r>
        <w:t>5</w:t>
      </w:r>
      <w:r w:rsidRPr="00194692">
        <w:t>.</w:t>
      </w:r>
      <w:r w:rsidR="00B04A8D">
        <w:t xml:space="preserve"> </w:t>
      </w:r>
      <w:r w:rsidRPr="00194692">
        <w:t xml:space="preserve">godine izvršeni su u iznosu od </w:t>
      </w:r>
      <w:r w:rsidR="00B430D1">
        <w:t>17.372,67</w:t>
      </w:r>
      <w:r w:rsidRPr="00194692">
        <w:t xml:space="preserve"> eura, što predstavlja </w:t>
      </w:r>
      <w:r w:rsidR="00B430D1">
        <w:t>94,51</w:t>
      </w:r>
      <w:r w:rsidRPr="00194692">
        <w:t>% planiranih</w:t>
      </w:r>
      <w:r w:rsidR="00B04A8D">
        <w:t xml:space="preserve"> financijskih</w:t>
      </w:r>
      <w:r w:rsidRPr="00194692">
        <w:t xml:space="preserve"> rashoda za 202</w:t>
      </w:r>
      <w:r w:rsidR="00DB57AC">
        <w:t>5</w:t>
      </w:r>
      <w:r w:rsidRPr="00194692">
        <w:t xml:space="preserve">. </w:t>
      </w:r>
      <w:r w:rsidR="00B04A8D">
        <w:t>U</w:t>
      </w:r>
      <w:r w:rsidRPr="00194692">
        <w:t xml:space="preserve"> odnosu na isto razdoblje prethodne godine</w:t>
      </w:r>
      <w:r w:rsidR="00B04A8D">
        <w:t xml:space="preserve"> su</w:t>
      </w:r>
      <w:r w:rsidRPr="00194692">
        <w:t xml:space="preserve"> veći za </w:t>
      </w:r>
      <w:r w:rsidR="00B430D1">
        <w:t>46,66</w:t>
      </w:r>
      <w:r w:rsidRPr="00194692">
        <w:t>%</w:t>
      </w:r>
      <w:r w:rsidR="001E38B5">
        <w:t xml:space="preserve"> </w:t>
      </w:r>
      <w:r w:rsidR="003F25CE">
        <w:t xml:space="preserve">radi </w:t>
      </w:r>
      <w:r w:rsidR="0067472D">
        <w:t>plaćanja kamata za primljeni kredit od HBOR-a za modernizaciju javne rasvjete LED tehnologijom</w:t>
      </w:r>
      <w:r w:rsidR="003F25CE">
        <w:t>.</w:t>
      </w:r>
      <w:r w:rsidR="0067472D">
        <w:t xml:space="preserve"> </w:t>
      </w:r>
    </w:p>
    <w:p w:rsidR="00A516DF" w:rsidRDefault="00A516DF" w:rsidP="003F25CE"/>
    <w:p w:rsidR="00B430D1" w:rsidRDefault="00B430D1" w:rsidP="00B430D1">
      <w:r w:rsidRPr="00B83764">
        <w:t>a)  Kamate za primljene kredite</w:t>
      </w:r>
      <w:r>
        <w:t xml:space="preserve"> </w:t>
      </w:r>
      <w:r w:rsidRPr="00B83764">
        <w:t>- 3423</w:t>
      </w:r>
      <w:r>
        <w:t>,</w:t>
      </w:r>
      <w:r w:rsidRPr="00B83764">
        <w:t xml:space="preserve"> </w:t>
      </w:r>
      <w:r>
        <w:t xml:space="preserve">odnose se na Općinu, </w:t>
      </w:r>
      <w:r w:rsidRPr="00B83764">
        <w:t>u 202</w:t>
      </w:r>
      <w:r>
        <w:t>5</w:t>
      </w:r>
      <w:r w:rsidRPr="00B83764">
        <w:t>. godini</w:t>
      </w:r>
      <w:r>
        <w:t xml:space="preserve"> iznose 7.417,00 eura (godinu ranije su iznosile 556,66 eura i odnosile su se na interkalarnu kamatu za kredit za modernizaciju javne rasvjete LED tehnologijom</w:t>
      </w:r>
      <w:r w:rsidR="00A516DF">
        <w:t>)</w:t>
      </w:r>
      <w:r>
        <w:t>.</w:t>
      </w:r>
      <w:r w:rsidRPr="00B83764">
        <w:t xml:space="preserve"> </w:t>
      </w:r>
    </w:p>
    <w:p w:rsidR="00B430D1" w:rsidRDefault="00B430D1" w:rsidP="00B430D1"/>
    <w:p w:rsidR="00B430D1" w:rsidRPr="00B83764" w:rsidRDefault="00B430D1" w:rsidP="00B430D1">
      <w:r w:rsidRPr="00B83764">
        <w:t>b) Bankarske usluge i usluge platnog prometa</w:t>
      </w:r>
      <w:r>
        <w:t xml:space="preserve"> - 3431</w:t>
      </w:r>
      <w:r w:rsidR="00A516DF">
        <w:t>,</w:t>
      </w:r>
      <w:r w:rsidRPr="00B83764">
        <w:t xml:space="preserve"> su u 202</w:t>
      </w:r>
      <w:r>
        <w:t>5</w:t>
      </w:r>
      <w:r w:rsidRPr="00B83764">
        <w:t xml:space="preserve">. godini </w:t>
      </w:r>
      <w:r>
        <w:t>smanjene</w:t>
      </w:r>
      <w:r w:rsidRPr="00B83764">
        <w:t xml:space="preserve"> za </w:t>
      </w:r>
      <w:r>
        <w:t>11,81</w:t>
      </w:r>
      <w:r w:rsidRPr="00B83764">
        <w:t xml:space="preserve"> %</w:t>
      </w:r>
      <w:r>
        <w:t xml:space="preserve"> i iznose 9.955,67 eura (Općina</w:t>
      </w:r>
      <w:r w:rsidR="00680E91">
        <w:t xml:space="preserve"> 7.315,14 + PK 2.640,53 eura),</w:t>
      </w:r>
      <w:r w:rsidR="00680E91" w:rsidRPr="00680E91">
        <w:t xml:space="preserve"> </w:t>
      </w:r>
      <w:r w:rsidR="00680E91">
        <w:t xml:space="preserve">a godinu ranije su iznosile </w:t>
      </w:r>
      <w:r>
        <w:t>11.288,69 eura (Općina 7.990,09 + PK 3.298,60)</w:t>
      </w:r>
      <w:r w:rsidRPr="00B83764">
        <w:t>.</w:t>
      </w:r>
    </w:p>
    <w:p w:rsidR="00B430D1" w:rsidRDefault="00B430D1" w:rsidP="003F25CE"/>
    <w:p w:rsidR="001E38B5" w:rsidRDefault="00EE0A96" w:rsidP="003F25CE">
      <w:r w:rsidRPr="00EE0A96">
        <w:rPr>
          <w:b/>
          <w:u w:val="single"/>
        </w:rPr>
        <w:t>4. Subvencije (35)</w:t>
      </w:r>
      <w:r>
        <w:rPr>
          <w:b/>
          <w:u w:val="single"/>
        </w:rPr>
        <w:t xml:space="preserve"> </w:t>
      </w:r>
      <w:r w:rsidRPr="00EE0A96">
        <w:t xml:space="preserve"> </w:t>
      </w:r>
    </w:p>
    <w:p w:rsidR="004354BA" w:rsidRDefault="004354BA" w:rsidP="003F25CE"/>
    <w:p w:rsidR="003F25CE" w:rsidRDefault="001E38B5" w:rsidP="003F25CE">
      <w:r>
        <w:t xml:space="preserve">Subvencije </w:t>
      </w:r>
      <w:r w:rsidR="003F25CE">
        <w:t xml:space="preserve">su rashodi Općine i </w:t>
      </w:r>
      <w:r w:rsidR="00AB614E" w:rsidRPr="00194692">
        <w:t>u 202</w:t>
      </w:r>
      <w:r w:rsidR="00AB614E">
        <w:t>5</w:t>
      </w:r>
      <w:r w:rsidR="00AB614E" w:rsidRPr="00194692">
        <w:t>. godin</w:t>
      </w:r>
      <w:r w:rsidR="007437A0">
        <w:t>i su</w:t>
      </w:r>
      <w:r w:rsidR="00AB614E" w:rsidRPr="00194692">
        <w:t xml:space="preserve"> izvršeni u iznosu od</w:t>
      </w:r>
      <w:r w:rsidR="00AB614E">
        <w:t xml:space="preserve"> </w:t>
      </w:r>
      <w:r w:rsidR="007437A0">
        <w:t>92.851,41</w:t>
      </w:r>
      <w:r w:rsidR="003F25CE">
        <w:t xml:space="preserve"> eura </w:t>
      </w:r>
      <w:r w:rsidRPr="00194692">
        <w:t xml:space="preserve">što predstavlja </w:t>
      </w:r>
      <w:r w:rsidR="007437A0">
        <w:t>78,86</w:t>
      </w:r>
      <w:r w:rsidRPr="00194692">
        <w:t>% planiranih sredstava</w:t>
      </w:r>
      <w:r>
        <w:t xml:space="preserve">. </w:t>
      </w:r>
      <w:r w:rsidRPr="00194692">
        <w:t xml:space="preserve">U odnosu na isto razdoblje prethodne godine rashodi za subvencije su povećani za </w:t>
      </w:r>
      <w:r w:rsidR="007437A0">
        <w:t>14</w:t>
      </w:r>
      <w:r>
        <w:t>3,</w:t>
      </w:r>
      <w:r w:rsidR="007437A0">
        <w:t>01</w:t>
      </w:r>
      <w:r w:rsidRPr="00194692">
        <w:t xml:space="preserve">% odnosno </w:t>
      </w:r>
      <w:r w:rsidR="007437A0">
        <w:t>54.641,76</w:t>
      </w:r>
      <w:r w:rsidRPr="00194692">
        <w:t xml:space="preserve"> eura</w:t>
      </w:r>
      <w:r w:rsidR="00A516DF">
        <w:t>.</w:t>
      </w:r>
      <w:r w:rsidRPr="00194692">
        <w:t xml:space="preserve"> </w:t>
      </w:r>
      <w:r w:rsidR="007437A0">
        <w:t>Dijele se na:</w:t>
      </w:r>
    </w:p>
    <w:p w:rsidR="007437A0" w:rsidRDefault="007437A0" w:rsidP="003F25CE"/>
    <w:p w:rsidR="007437A0" w:rsidRDefault="007437A0" w:rsidP="0076533D">
      <w:pPr>
        <w:pStyle w:val="ListParagraph"/>
        <w:numPr>
          <w:ilvl w:val="0"/>
          <w:numId w:val="5"/>
        </w:numPr>
      </w:pPr>
      <w:r>
        <w:t>3522 Subvencije trgovačkim društvima i zadrugama izvan javnog sektora</w:t>
      </w:r>
      <w:r w:rsidR="00C21FE7">
        <w:t xml:space="preserve"> </w:t>
      </w:r>
      <w:r>
        <w:t>- izvršene su u iznosu od 28.802,85 eura</w:t>
      </w:r>
      <w:r w:rsidR="009A41ED">
        <w:t xml:space="preserve"> (godinu ranije ih nismo imali)</w:t>
      </w:r>
      <w:r>
        <w:t>. Odnose se na sufinanciranje komunalnog linijskog prijevoza</w:t>
      </w:r>
      <w:r w:rsidR="009A41ED">
        <w:t xml:space="preserve"> po Ugovoru o koncesiji za obavljanje komunalne djelatnosti komunalnog linijskog prijevoza na području Općine Vela Luka sklopljenog s Autotransom d.d. dana 27.05.2025. godine.</w:t>
      </w:r>
    </w:p>
    <w:p w:rsidR="009A41ED" w:rsidRDefault="009A41ED" w:rsidP="0076533D">
      <w:pPr>
        <w:pStyle w:val="ListParagraph"/>
        <w:numPr>
          <w:ilvl w:val="0"/>
          <w:numId w:val="5"/>
        </w:numPr>
      </w:pPr>
      <w:r>
        <w:t>3523 Subvencije poljoprivrednicima i obrtnicima - izvršene su u iznosu od 64.048,56 eura (godinu ranije su bile 38.209,65 eura)</w:t>
      </w:r>
      <w:r w:rsidR="00C90095">
        <w:t xml:space="preserve">, </w:t>
      </w:r>
      <w:r w:rsidR="00A516DF">
        <w:t xml:space="preserve">za </w:t>
      </w:r>
      <w:r w:rsidR="00C90095">
        <w:t>kako slijedi:</w:t>
      </w:r>
    </w:p>
    <w:p w:rsidR="00A516DF" w:rsidRDefault="00A516DF" w:rsidP="00C21FE7"/>
    <w:p w:rsidR="00C21FE7" w:rsidRDefault="00C21FE7" w:rsidP="00C21FE7">
      <w:r>
        <w:t>- Poticanje razvoja gospodarstva, poduzetništva i obrtništva - utrošeno je</w:t>
      </w:r>
      <w:r w:rsidR="00C90095" w:rsidRPr="00C90095">
        <w:t xml:space="preserve"> </w:t>
      </w:r>
      <w:r w:rsidR="00C90095">
        <w:t>je 59.909,88 eura (dok je godinu ranije utrošeno</w:t>
      </w:r>
      <w:r>
        <w:t xml:space="preserve"> 33.691,40 eura</w:t>
      </w:r>
      <w:r w:rsidR="00C90095">
        <w:t>)</w:t>
      </w:r>
      <w:r>
        <w:t>. Mjera</w:t>
      </w:r>
      <w:r w:rsidRPr="005344FE">
        <w:t xml:space="preserve"> </w:t>
      </w:r>
      <w:r w:rsidRPr="000B48E9">
        <w:t>financiranj</w:t>
      </w:r>
      <w:r>
        <w:t>a</w:t>
      </w:r>
      <w:r w:rsidRPr="000B48E9">
        <w:t xml:space="preserve"> zapošljavanja</w:t>
      </w:r>
      <w:r>
        <w:t xml:space="preserve"> </w:t>
      </w:r>
      <w:r w:rsidRPr="000B48E9">
        <w:t>putem javnog poziva za dodjelu potpora male vrijednosti</w:t>
      </w:r>
      <w:r>
        <w:t xml:space="preserve"> je prepoznata među poduzetnicima i obrtnicima, te se iz godinu u godinu zaprima sve veći broj zahtjeva, temeljem kojih se odobravaju sredstva za sufinanciranje zapošljavanja i samozapošljavanja te sufinaciranje troškova najma prostora poduzetnicima početnicima.</w:t>
      </w:r>
    </w:p>
    <w:p w:rsidR="00A516DF" w:rsidRDefault="00A516DF" w:rsidP="00C21FE7"/>
    <w:p w:rsidR="00C21FE7" w:rsidRDefault="00C21FE7" w:rsidP="00C21FE7">
      <w:r>
        <w:t>- Poticanje poljoprivrede - utrošeno je</w:t>
      </w:r>
      <w:r w:rsidR="00C90095">
        <w:t xml:space="preserve"> 4.138,68 eura</w:t>
      </w:r>
      <w:r>
        <w:t xml:space="preserve"> </w:t>
      </w:r>
      <w:r w:rsidR="00C90095">
        <w:t xml:space="preserve">(godinu ranije </w:t>
      </w:r>
      <w:r>
        <w:t>4.518,25 eura</w:t>
      </w:r>
      <w:r w:rsidR="00C90095">
        <w:t>)</w:t>
      </w:r>
      <w:r>
        <w:t>, također temeljem javnog poziva za sufinanciranje ulaganja u ekološku proizvodnju, sufinanciranje manifestacija u svrhu promicanja poljoprivredne proizvodnje i sufinanciranje sadnog materijala.</w:t>
      </w:r>
    </w:p>
    <w:p w:rsidR="00C21FE7" w:rsidRPr="00B83764" w:rsidRDefault="00C21FE7" w:rsidP="00C21FE7"/>
    <w:p w:rsidR="001E38B5" w:rsidRDefault="00EE0A96" w:rsidP="001E38B5">
      <w:r w:rsidRPr="00EE0A96">
        <w:rPr>
          <w:b/>
          <w:u w:val="single"/>
        </w:rPr>
        <w:t>5. Naknade građanima i kućanstvima na temelju osiguranja i druge naknade (37)</w:t>
      </w:r>
      <w:r>
        <w:t xml:space="preserve"> </w:t>
      </w:r>
    </w:p>
    <w:p w:rsidR="004354BA" w:rsidRDefault="004354BA" w:rsidP="00A1662E">
      <w:pPr>
        <w:pStyle w:val="CommentText"/>
        <w:rPr>
          <w:sz w:val="24"/>
          <w:szCs w:val="24"/>
        </w:rPr>
      </w:pPr>
    </w:p>
    <w:p w:rsidR="00A1662E" w:rsidRPr="00A1662E" w:rsidRDefault="001E38B5" w:rsidP="00A1662E">
      <w:pPr>
        <w:pStyle w:val="CommentText"/>
        <w:rPr>
          <w:sz w:val="24"/>
          <w:szCs w:val="24"/>
        </w:rPr>
      </w:pPr>
      <w:r w:rsidRPr="00A1662E">
        <w:rPr>
          <w:sz w:val="24"/>
          <w:szCs w:val="24"/>
        </w:rPr>
        <w:t>Naknade građanima i kućanstvima na temelju osiguranja i druge naknade u 2025. godin</w:t>
      </w:r>
      <w:r w:rsidR="00B76CCB">
        <w:rPr>
          <w:sz w:val="24"/>
          <w:szCs w:val="24"/>
        </w:rPr>
        <w:t>i</w:t>
      </w:r>
      <w:r w:rsidRPr="00A1662E">
        <w:rPr>
          <w:sz w:val="24"/>
          <w:szCs w:val="24"/>
        </w:rPr>
        <w:t xml:space="preserve"> izvršene su u iznosu od </w:t>
      </w:r>
      <w:r w:rsidR="00B76CCB">
        <w:rPr>
          <w:sz w:val="24"/>
          <w:szCs w:val="24"/>
        </w:rPr>
        <w:t>115.505,13</w:t>
      </w:r>
      <w:r w:rsidRPr="00A1662E">
        <w:rPr>
          <w:sz w:val="24"/>
          <w:szCs w:val="24"/>
        </w:rPr>
        <w:t xml:space="preserve"> eura, što predstavlja </w:t>
      </w:r>
      <w:r w:rsidR="00B76CCB">
        <w:rPr>
          <w:sz w:val="24"/>
          <w:szCs w:val="24"/>
        </w:rPr>
        <w:t>90,27</w:t>
      </w:r>
      <w:r w:rsidRPr="00A1662E">
        <w:rPr>
          <w:sz w:val="24"/>
          <w:szCs w:val="24"/>
        </w:rPr>
        <w:t>% planiranih sredstava, a u usporedbi s istim razdobljem prethodne godine povećane su za</w:t>
      </w:r>
      <w:r w:rsidR="00B76CCB">
        <w:rPr>
          <w:sz w:val="24"/>
          <w:szCs w:val="24"/>
        </w:rPr>
        <w:t xml:space="preserve"> 23.027,79</w:t>
      </w:r>
      <w:r w:rsidRPr="00A1662E">
        <w:rPr>
          <w:sz w:val="24"/>
          <w:szCs w:val="24"/>
        </w:rPr>
        <w:t xml:space="preserve"> eura odnosno </w:t>
      </w:r>
      <w:r w:rsidR="00B76CCB">
        <w:rPr>
          <w:sz w:val="24"/>
          <w:szCs w:val="24"/>
        </w:rPr>
        <w:t>24</w:t>
      </w:r>
      <w:r w:rsidRPr="00A1662E">
        <w:rPr>
          <w:sz w:val="24"/>
          <w:szCs w:val="24"/>
        </w:rPr>
        <w:t>,</w:t>
      </w:r>
      <w:r w:rsidR="006915F7">
        <w:rPr>
          <w:sz w:val="24"/>
          <w:szCs w:val="24"/>
        </w:rPr>
        <w:t>90</w:t>
      </w:r>
      <w:bookmarkStart w:id="9" w:name="_GoBack"/>
      <w:bookmarkEnd w:id="9"/>
      <w:r w:rsidRPr="00A1662E">
        <w:rPr>
          <w:sz w:val="24"/>
          <w:szCs w:val="24"/>
        </w:rPr>
        <w:t xml:space="preserve">%. </w:t>
      </w:r>
      <w:r w:rsidR="003F25CE" w:rsidRPr="00A1662E">
        <w:rPr>
          <w:sz w:val="24"/>
          <w:szCs w:val="24"/>
        </w:rPr>
        <w:t xml:space="preserve">Odnose se na </w:t>
      </w:r>
      <w:r w:rsidR="00127068" w:rsidRPr="00A1662E">
        <w:rPr>
          <w:sz w:val="24"/>
          <w:szCs w:val="24"/>
        </w:rPr>
        <w:t xml:space="preserve">socijalne pomoći i potpore </w:t>
      </w:r>
      <w:r w:rsidR="008B2B78" w:rsidRPr="00A1662E">
        <w:rPr>
          <w:sz w:val="24"/>
          <w:szCs w:val="24"/>
        </w:rPr>
        <w:t>unutar</w:t>
      </w:r>
      <w:r w:rsidR="00127068" w:rsidRPr="00A1662E">
        <w:rPr>
          <w:sz w:val="24"/>
          <w:szCs w:val="24"/>
        </w:rPr>
        <w:t xml:space="preserve"> </w:t>
      </w:r>
      <w:r w:rsidR="00127068" w:rsidRPr="00A1662E">
        <w:rPr>
          <w:sz w:val="24"/>
          <w:szCs w:val="24"/>
        </w:rPr>
        <w:lastRenderedPageBreak/>
        <w:t>Programa socijalne skrbi</w:t>
      </w:r>
      <w:r w:rsidR="00B76CCB">
        <w:rPr>
          <w:sz w:val="24"/>
          <w:szCs w:val="24"/>
        </w:rPr>
        <w:t>. Iako su potpore za novorođenu djecu isplaćene u ukupno manjem iznosu nego godinu ranije</w:t>
      </w:r>
      <w:r w:rsidR="00A1662E" w:rsidRPr="00A1662E">
        <w:rPr>
          <w:sz w:val="24"/>
          <w:szCs w:val="24"/>
        </w:rPr>
        <w:t xml:space="preserve"> </w:t>
      </w:r>
      <w:r w:rsidR="00B76CCB">
        <w:rPr>
          <w:sz w:val="24"/>
          <w:szCs w:val="24"/>
        </w:rPr>
        <w:t>povećani su rashodi za stipendije</w:t>
      </w:r>
      <w:r w:rsidR="00A1662E" w:rsidRPr="00A1662E">
        <w:rPr>
          <w:sz w:val="24"/>
          <w:szCs w:val="24"/>
        </w:rPr>
        <w:t>, jednokratn</w:t>
      </w:r>
      <w:r w:rsidR="00B76CCB">
        <w:rPr>
          <w:sz w:val="24"/>
          <w:szCs w:val="24"/>
        </w:rPr>
        <w:t>e</w:t>
      </w:r>
      <w:r w:rsidR="00A1662E" w:rsidRPr="00A1662E">
        <w:rPr>
          <w:sz w:val="24"/>
          <w:szCs w:val="24"/>
        </w:rPr>
        <w:t xml:space="preserve"> novčan</w:t>
      </w:r>
      <w:r w:rsidR="00B76CCB">
        <w:rPr>
          <w:sz w:val="24"/>
          <w:szCs w:val="24"/>
        </w:rPr>
        <w:t>e</w:t>
      </w:r>
      <w:r w:rsidR="00A1662E" w:rsidRPr="00A1662E">
        <w:rPr>
          <w:sz w:val="24"/>
          <w:szCs w:val="24"/>
        </w:rPr>
        <w:t xml:space="preserve"> pomoći i jednokratn</w:t>
      </w:r>
      <w:r w:rsidR="00B76CCB">
        <w:rPr>
          <w:sz w:val="24"/>
          <w:szCs w:val="24"/>
        </w:rPr>
        <w:t>e</w:t>
      </w:r>
      <w:r w:rsidR="00A1662E" w:rsidRPr="00A1662E">
        <w:rPr>
          <w:sz w:val="24"/>
          <w:szCs w:val="24"/>
        </w:rPr>
        <w:t xml:space="preserve"> naknad</w:t>
      </w:r>
      <w:r w:rsidR="00B76CCB">
        <w:rPr>
          <w:sz w:val="24"/>
          <w:szCs w:val="24"/>
        </w:rPr>
        <w:t>e</w:t>
      </w:r>
      <w:r w:rsidR="00A1662E" w:rsidRPr="00A1662E">
        <w:rPr>
          <w:sz w:val="24"/>
          <w:szCs w:val="24"/>
        </w:rPr>
        <w:t xml:space="preserve"> umirovljenicima. </w:t>
      </w:r>
      <w:r w:rsidR="00B76CCB">
        <w:rPr>
          <w:sz w:val="24"/>
          <w:szCs w:val="24"/>
        </w:rPr>
        <w:t>Umirovljenicima su podijeljene jednokratne naknade dvaput u 2025. godini.</w:t>
      </w:r>
    </w:p>
    <w:p w:rsidR="004354BA" w:rsidRDefault="004354BA" w:rsidP="0039742A">
      <w:pPr>
        <w:rPr>
          <w:b/>
          <w:bCs/>
          <w:iCs/>
        </w:rPr>
      </w:pPr>
    </w:p>
    <w:p w:rsidR="0039742A" w:rsidRPr="00194692" w:rsidRDefault="0039742A" w:rsidP="0039742A">
      <w:pPr>
        <w:rPr>
          <w:b/>
          <w:bCs/>
        </w:rPr>
      </w:pPr>
      <w:r w:rsidRPr="00194692">
        <w:rPr>
          <w:b/>
          <w:bCs/>
          <w:iCs/>
        </w:rPr>
        <w:t xml:space="preserve">Tablica </w:t>
      </w:r>
      <w:r w:rsidR="00F70C4C">
        <w:rPr>
          <w:b/>
          <w:bCs/>
          <w:iCs/>
        </w:rPr>
        <w:t>6</w:t>
      </w:r>
      <w:r w:rsidRPr="00194692">
        <w:rPr>
          <w:b/>
          <w:bCs/>
          <w:iCs/>
        </w:rPr>
        <w:t xml:space="preserve">: Rashodi za naknade građanima i kućanstvima na temelju osiguranja i druge naknade </w:t>
      </w:r>
      <w:r w:rsidRPr="00194692">
        <w:rPr>
          <w:b/>
          <w:bCs/>
        </w:rPr>
        <w:t>u 202</w:t>
      </w:r>
      <w:r>
        <w:rPr>
          <w:b/>
          <w:bCs/>
        </w:rPr>
        <w:t>4</w:t>
      </w:r>
      <w:r w:rsidRPr="00194692">
        <w:rPr>
          <w:b/>
          <w:bCs/>
        </w:rPr>
        <w:t>. i 202</w:t>
      </w:r>
      <w:r>
        <w:rPr>
          <w:b/>
          <w:bCs/>
        </w:rPr>
        <w:t>5</w:t>
      </w:r>
      <w:r w:rsidRPr="00194692">
        <w:rPr>
          <w:b/>
          <w:bCs/>
        </w:rPr>
        <w:t>. godini</w:t>
      </w:r>
    </w:p>
    <w:p w:rsidR="008B2B78" w:rsidRDefault="008B2B78" w:rsidP="003F25CE"/>
    <w:tbl>
      <w:tblPr>
        <w:tblStyle w:val="TableGrid"/>
        <w:tblW w:w="10485" w:type="dxa"/>
        <w:tblLook w:val="04A0" w:firstRow="1" w:lastRow="0" w:firstColumn="1" w:lastColumn="0" w:noHBand="0" w:noVBand="1"/>
      </w:tblPr>
      <w:tblGrid>
        <w:gridCol w:w="4133"/>
        <w:gridCol w:w="1391"/>
        <w:gridCol w:w="1370"/>
        <w:gridCol w:w="1450"/>
        <w:gridCol w:w="1007"/>
        <w:gridCol w:w="1134"/>
      </w:tblGrid>
      <w:tr w:rsidR="008B2B78" w:rsidRPr="00990421" w:rsidTr="00420EC7">
        <w:trPr>
          <w:trHeight w:val="255"/>
        </w:trPr>
        <w:tc>
          <w:tcPr>
            <w:tcW w:w="4133" w:type="dxa"/>
            <w:noWrap/>
            <w:hideMark/>
          </w:tcPr>
          <w:p w:rsidR="008B2B78" w:rsidRPr="00990421" w:rsidRDefault="008B2B78" w:rsidP="00420EC7">
            <w:pPr>
              <w:jc w:val="center"/>
              <w:rPr>
                <w:b/>
                <w:bCs/>
                <w:sz w:val="20"/>
                <w:szCs w:val="20"/>
              </w:rPr>
            </w:pPr>
            <w:r>
              <w:rPr>
                <w:b/>
                <w:bCs/>
                <w:sz w:val="20"/>
                <w:szCs w:val="20"/>
              </w:rPr>
              <w:t>O</w:t>
            </w:r>
            <w:r w:rsidRPr="00990421">
              <w:rPr>
                <w:b/>
                <w:bCs/>
                <w:sz w:val="20"/>
                <w:szCs w:val="20"/>
              </w:rPr>
              <w:t>pis</w:t>
            </w:r>
          </w:p>
        </w:tc>
        <w:tc>
          <w:tcPr>
            <w:tcW w:w="1391" w:type="dxa"/>
            <w:noWrap/>
            <w:hideMark/>
          </w:tcPr>
          <w:p w:rsidR="008B2B78" w:rsidRPr="00990421" w:rsidRDefault="008B2B78" w:rsidP="00420EC7">
            <w:pPr>
              <w:jc w:val="center"/>
              <w:rPr>
                <w:b/>
                <w:bCs/>
                <w:sz w:val="20"/>
                <w:szCs w:val="20"/>
              </w:rPr>
            </w:pPr>
            <w:r w:rsidRPr="00990421">
              <w:rPr>
                <w:b/>
                <w:bCs/>
                <w:sz w:val="20"/>
                <w:szCs w:val="20"/>
              </w:rPr>
              <w:t>Izvršenje</w:t>
            </w:r>
            <w:r>
              <w:rPr>
                <w:b/>
                <w:bCs/>
                <w:sz w:val="20"/>
                <w:szCs w:val="20"/>
              </w:rPr>
              <w:t xml:space="preserve">    I.-</w:t>
            </w:r>
            <w:r w:rsidR="00917B50">
              <w:rPr>
                <w:b/>
                <w:bCs/>
                <w:sz w:val="20"/>
                <w:szCs w:val="20"/>
              </w:rPr>
              <w:t xml:space="preserve"> XII. </w:t>
            </w:r>
            <w:r w:rsidRPr="00990421">
              <w:rPr>
                <w:b/>
                <w:bCs/>
                <w:sz w:val="20"/>
                <w:szCs w:val="20"/>
              </w:rPr>
              <w:t>2024.</w:t>
            </w:r>
          </w:p>
        </w:tc>
        <w:tc>
          <w:tcPr>
            <w:tcW w:w="1370" w:type="dxa"/>
            <w:noWrap/>
            <w:hideMark/>
          </w:tcPr>
          <w:p w:rsidR="008B2B78" w:rsidRPr="00990421" w:rsidRDefault="008B2B78" w:rsidP="00420EC7">
            <w:pPr>
              <w:jc w:val="center"/>
              <w:rPr>
                <w:b/>
                <w:bCs/>
                <w:sz w:val="20"/>
                <w:szCs w:val="20"/>
              </w:rPr>
            </w:pPr>
            <w:r w:rsidRPr="00990421">
              <w:rPr>
                <w:b/>
                <w:bCs/>
                <w:sz w:val="20"/>
                <w:szCs w:val="20"/>
              </w:rPr>
              <w:t>Izvorni plan 2025.</w:t>
            </w:r>
          </w:p>
        </w:tc>
        <w:tc>
          <w:tcPr>
            <w:tcW w:w="1450" w:type="dxa"/>
            <w:noWrap/>
            <w:hideMark/>
          </w:tcPr>
          <w:p w:rsidR="008B2B78" w:rsidRPr="00990421" w:rsidRDefault="008B2B78" w:rsidP="00420EC7">
            <w:pPr>
              <w:jc w:val="center"/>
              <w:rPr>
                <w:b/>
                <w:bCs/>
                <w:sz w:val="20"/>
                <w:szCs w:val="20"/>
              </w:rPr>
            </w:pPr>
            <w:r w:rsidRPr="00990421">
              <w:rPr>
                <w:b/>
                <w:bCs/>
                <w:sz w:val="20"/>
                <w:szCs w:val="20"/>
              </w:rPr>
              <w:t xml:space="preserve">Izvršenje </w:t>
            </w:r>
            <w:r>
              <w:rPr>
                <w:b/>
                <w:bCs/>
                <w:sz w:val="20"/>
                <w:szCs w:val="20"/>
              </w:rPr>
              <w:t xml:space="preserve">     I.-</w:t>
            </w:r>
            <w:r w:rsidR="00917B50">
              <w:rPr>
                <w:b/>
                <w:bCs/>
                <w:sz w:val="20"/>
                <w:szCs w:val="20"/>
              </w:rPr>
              <w:t xml:space="preserve"> XII</w:t>
            </w:r>
            <w:r>
              <w:rPr>
                <w:b/>
                <w:bCs/>
                <w:sz w:val="20"/>
                <w:szCs w:val="20"/>
              </w:rPr>
              <w:t>.</w:t>
            </w:r>
            <w:r w:rsidR="00917B50">
              <w:rPr>
                <w:b/>
                <w:bCs/>
                <w:sz w:val="20"/>
                <w:szCs w:val="20"/>
              </w:rPr>
              <w:t xml:space="preserve"> </w:t>
            </w:r>
            <w:r w:rsidRPr="00990421">
              <w:rPr>
                <w:b/>
                <w:bCs/>
                <w:sz w:val="20"/>
                <w:szCs w:val="20"/>
              </w:rPr>
              <w:t>2025.</w:t>
            </w:r>
          </w:p>
        </w:tc>
        <w:tc>
          <w:tcPr>
            <w:tcW w:w="1007" w:type="dxa"/>
            <w:noWrap/>
            <w:hideMark/>
          </w:tcPr>
          <w:p w:rsidR="008B2B78" w:rsidRPr="00990421" w:rsidRDefault="008B2B78" w:rsidP="008B2B78">
            <w:pPr>
              <w:jc w:val="center"/>
              <w:rPr>
                <w:b/>
                <w:bCs/>
                <w:sz w:val="20"/>
                <w:szCs w:val="20"/>
              </w:rPr>
            </w:pPr>
            <w:r w:rsidRPr="00990421">
              <w:rPr>
                <w:b/>
                <w:bCs/>
                <w:sz w:val="20"/>
                <w:szCs w:val="20"/>
              </w:rPr>
              <w:t>Indeks  3/1</w:t>
            </w:r>
          </w:p>
        </w:tc>
        <w:tc>
          <w:tcPr>
            <w:tcW w:w="1134" w:type="dxa"/>
            <w:noWrap/>
            <w:hideMark/>
          </w:tcPr>
          <w:p w:rsidR="008B2B78" w:rsidRPr="00990421" w:rsidRDefault="008B2B78" w:rsidP="008B2B78">
            <w:pPr>
              <w:jc w:val="center"/>
              <w:rPr>
                <w:b/>
                <w:bCs/>
                <w:sz w:val="20"/>
                <w:szCs w:val="20"/>
              </w:rPr>
            </w:pPr>
            <w:r w:rsidRPr="00990421">
              <w:rPr>
                <w:b/>
                <w:bCs/>
                <w:sz w:val="20"/>
                <w:szCs w:val="20"/>
              </w:rPr>
              <w:t>Indeks  3/2</w:t>
            </w:r>
          </w:p>
        </w:tc>
      </w:tr>
      <w:tr w:rsidR="008B2B78" w:rsidRPr="00990421" w:rsidTr="00420EC7">
        <w:trPr>
          <w:trHeight w:val="255"/>
        </w:trPr>
        <w:tc>
          <w:tcPr>
            <w:tcW w:w="4133" w:type="dxa"/>
            <w:noWrap/>
            <w:hideMark/>
          </w:tcPr>
          <w:p w:rsidR="008B2B78" w:rsidRPr="00990421" w:rsidRDefault="008B2B78" w:rsidP="00420EC7">
            <w:pPr>
              <w:rPr>
                <w:b/>
                <w:bCs/>
                <w:sz w:val="20"/>
                <w:szCs w:val="20"/>
              </w:rPr>
            </w:pPr>
          </w:p>
        </w:tc>
        <w:tc>
          <w:tcPr>
            <w:tcW w:w="1391" w:type="dxa"/>
            <w:noWrap/>
            <w:hideMark/>
          </w:tcPr>
          <w:p w:rsidR="008B2B78" w:rsidRPr="00990421" w:rsidRDefault="008B2B78" w:rsidP="00420EC7">
            <w:pPr>
              <w:jc w:val="center"/>
              <w:rPr>
                <w:b/>
                <w:bCs/>
                <w:sz w:val="20"/>
                <w:szCs w:val="20"/>
              </w:rPr>
            </w:pPr>
            <w:r w:rsidRPr="00990421">
              <w:rPr>
                <w:b/>
                <w:bCs/>
                <w:sz w:val="20"/>
                <w:szCs w:val="20"/>
              </w:rPr>
              <w:t>1</w:t>
            </w:r>
          </w:p>
        </w:tc>
        <w:tc>
          <w:tcPr>
            <w:tcW w:w="1370" w:type="dxa"/>
            <w:noWrap/>
            <w:hideMark/>
          </w:tcPr>
          <w:p w:rsidR="008B2B78" w:rsidRPr="00990421" w:rsidRDefault="008B2B78" w:rsidP="00420EC7">
            <w:pPr>
              <w:jc w:val="center"/>
              <w:rPr>
                <w:b/>
                <w:bCs/>
                <w:sz w:val="20"/>
                <w:szCs w:val="20"/>
              </w:rPr>
            </w:pPr>
            <w:r w:rsidRPr="00990421">
              <w:rPr>
                <w:b/>
                <w:bCs/>
                <w:sz w:val="20"/>
                <w:szCs w:val="20"/>
              </w:rPr>
              <w:t>2</w:t>
            </w:r>
          </w:p>
        </w:tc>
        <w:tc>
          <w:tcPr>
            <w:tcW w:w="1450" w:type="dxa"/>
            <w:noWrap/>
            <w:hideMark/>
          </w:tcPr>
          <w:p w:rsidR="008B2B78" w:rsidRPr="00990421" w:rsidRDefault="008B2B78" w:rsidP="00420EC7">
            <w:pPr>
              <w:jc w:val="center"/>
              <w:rPr>
                <w:b/>
                <w:bCs/>
                <w:sz w:val="20"/>
                <w:szCs w:val="20"/>
              </w:rPr>
            </w:pPr>
            <w:r w:rsidRPr="00990421">
              <w:rPr>
                <w:b/>
                <w:bCs/>
                <w:sz w:val="20"/>
                <w:szCs w:val="20"/>
              </w:rPr>
              <w:t>3</w:t>
            </w:r>
          </w:p>
        </w:tc>
        <w:tc>
          <w:tcPr>
            <w:tcW w:w="1007" w:type="dxa"/>
            <w:noWrap/>
            <w:hideMark/>
          </w:tcPr>
          <w:p w:rsidR="008B2B78" w:rsidRPr="00990421" w:rsidRDefault="008B2B78" w:rsidP="008B2B78">
            <w:pPr>
              <w:jc w:val="center"/>
              <w:rPr>
                <w:b/>
                <w:bCs/>
                <w:sz w:val="20"/>
                <w:szCs w:val="20"/>
              </w:rPr>
            </w:pPr>
            <w:r w:rsidRPr="00990421">
              <w:rPr>
                <w:b/>
                <w:bCs/>
                <w:sz w:val="20"/>
                <w:szCs w:val="20"/>
              </w:rPr>
              <w:t>4</w:t>
            </w:r>
          </w:p>
        </w:tc>
        <w:tc>
          <w:tcPr>
            <w:tcW w:w="1134" w:type="dxa"/>
            <w:noWrap/>
            <w:hideMark/>
          </w:tcPr>
          <w:p w:rsidR="008B2B78" w:rsidRPr="00990421" w:rsidRDefault="008B2B78" w:rsidP="008B2B78">
            <w:pPr>
              <w:jc w:val="center"/>
              <w:rPr>
                <w:b/>
                <w:bCs/>
                <w:sz w:val="20"/>
                <w:szCs w:val="20"/>
              </w:rPr>
            </w:pPr>
            <w:r w:rsidRPr="00990421">
              <w:rPr>
                <w:b/>
                <w:bCs/>
                <w:sz w:val="20"/>
                <w:szCs w:val="20"/>
              </w:rPr>
              <w:t>5</w:t>
            </w:r>
          </w:p>
        </w:tc>
      </w:tr>
      <w:tr w:rsidR="008B2B78" w:rsidRPr="00990421" w:rsidTr="008B2B78">
        <w:trPr>
          <w:trHeight w:val="255"/>
        </w:trPr>
        <w:tc>
          <w:tcPr>
            <w:tcW w:w="4133" w:type="dxa"/>
            <w:shd w:val="clear" w:color="auto" w:fill="DDD9C3" w:themeFill="background2" w:themeFillShade="E6"/>
            <w:noWrap/>
            <w:hideMark/>
          </w:tcPr>
          <w:p w:rsidR="008B2B78" w:rsidRPr="00990421" w:rsidRDefault="008B2B78" w:rsidP="00420EC7">
            <w:pPr>
              <w:rPr>
                <w:b/>
                <w:bCs/>
                <w:sz w:val="20"/>
                <w:szCs w:val="20"/>
              </w:rPr>
            </w:pPr>
            <w:r w:rsidRPr="00E02408">
              <w:rPr>
                <w:rFonts w:ascii="Arial" w:hAnsi="Arial" w:cs="Arial"/>
                <w:b/>
                <w:bCs/>
                <w:color w:val="000000"/>
                <w:sz w:val="20"/>
                <w:szCs w:val="20"/>
              </w:rPr>
              <w:t>Socijalne pomoći i potpore prema opisu</w:t>
            </w:r>
          </w:p>
        </w:tc>
        <w:tc>
          <w:tcPr>
            <w:tcW w:w="1391" w:type="dxa"/>
            <w:shd w:val="clear" w:color="auto" w:fill="DDD9C3" w:themeFill="background2" w:themeFillShade="E6"/>
            <w:noWrap/>
          </w:tcPr>
          <w:p w:rsidR="008B2B78" w:rsidRPr="00990421" w:rsidRDefault="00917B50" w:rsidP="00420EC7">
            <w:pPr>
              <w:jc w:val="right"/>
              <w:rPr>
                <w:b/>
                <w:bCs/>
                <w:sz w:val="20"/>
                <w:szCs w:val="20"/>
              </w:rPr>
            </w:pPr>
            <w:r>
              <w:rPr>
                <w:b/>
                <w:bCs/>
                <w:sz w:val="20"/>
                <w:szCs w:val="20"/>
              </w:rPr>
              <w:t>92.477,34</w:t>
            </w:r>
          </w:p>
        </w:tc>
        <w:tc>
          <w:tcPr>
            <w:tcW w:w="1370" w:type="dxa"/>
            <w:shd w:val="clear" w:color="auto" w:fill="DDD9C3" w:themeFill="background2" w:themeFillShade="E6"/>
            <w:noWrap/>
            <w:hideMark/>
          </w:tcPr>
          <w:p w:rsidR="008B2B78" w:rsidRPr="00990421" w:rsidRDefault="00917B50" w:rsidP="00420EC7">
            <w:pPr>
              <w:jc w:val="right"/>
              <w:rPr>
                <w:b/>
                <w:bCs/>
                <w:sz w:val="20"/>
                <w:szCs w:val="20"/>
              </w:rPr>
            </w:pPr>
            <w:r>
              <w:rPr>
                <w:b/>
                <w:bCs/>
                <w:sz w:val="20"/>
                <w:szCs w:val="20"/>
              </w:rPr>
              <w:t>127.953</w:t>
            </w:r>
            <w:r w:rsidR="008B2B78">
              <w:rPr>
                <w:b/>
                <w:bCs/>
                <w:sz w:val="20"/>
                <w:szCs w:val="20"/>
              </w:rPr>
              <w:t>,00</w:t>
            </w:r>
          </w:p>
        </w:tc>
        <w:tc>
          <w:tcPr>
            <w:tcW w:w="1450" w:type="dxa"/>
            <w:shd w:val="clear" w:color="auto" w:fill="DDD9C3" w:themeFill="background2" w:themeFillShade="E6"/>
            <w:noWrap/>
          </w:tcPr>
          <w:p w:rsidR="008B2B78" w:rsidRPr="00990421" w:rsidRDefault="00917B50" w:rsidP="00420EC7">
            <w:pPr>
              <w:jc w:val="right"/>
              <w:rPr>
                <w:b/>
                <w:bCs/>
                <w:sz w:val="20"/>
                <w:szCs w:val="20"/>
              </w:rPr>
            </w:pPr>
            <w:r>
              <w:rPr>
                <w:b/>
                <w:bCs/>
                <w:sz w:val="20"/>
                <w:szCs w:val="20"/>
              </w:rPr>
              <w:t>115.505,13</w:t>
            </w:r>
          </w:p>
        </w:tc>
        <w:tc>
          <w:tcPr>
            <w:tcW w:w="1007" w:type="dxa"/>
            <w:shd w:val="clear" w:color="auto" w:fill="DDD9C3" w:themeFill="background2" w:themeFillShade="E6"/>
            <w:noWrap/>
          </w:tcPr>
          <w:p w:rsidR="008B2B78" w:rsidRPr="00990421" w:rsidRDefault="00917B50" w:rsidP="008B2B78">
            <w:pPr>
              <w:jc w:val="center"/>
              <w:rPr>
                <w:b/>
                <w:bCs/>
                <w:sz w:val="20"/>
                <w:szCs w:val="20"/>
              </w:rPr>
            </w:pPr>
            <w:r>
              <w:rPr>
                <w:b/>
                <w:bCs/>
                <w:sz w:val="20"/>
                <w:szCs w:val="20"/>
              </w:rPr>
              <w:t>124,90</w:t>
            </w:r>
            <w:r w:rsidR="0039742A">
              <w:rPr>
                <w:b/>
                <w:bCs/>
                <w:sz w:val="20"/>
                <w:szCs w:val="20"/>
              </w:rPr>
              <w:t>%</w:t>
            </w:r>
          </w:p>
        </w:tc>
        <w:tc>
          <w:tcPr>
            <w:tcW w:w="1134" w:type="dxa"/>
            <w:shd w:val="clear" w:color="auto" w:fill="DDD9C3" w:themeFill="background2" w:themeFillShade="E6"/>
            <w:noWrap/>
          </w:tcPr>
          <w:p w:rsidR="008B2B78" w:rsidRPr="00990421" w:rsidRDefault="00917B50" w:rsidP="008B2B78">
            <w:pPr>
              <w:jc w:val="center"/>
              <w:rPr>
                <w:b/>
                <w:bCs/>
                <w:sz w:val="20"/>
                <w:szCs w:val="20"/>
              </w:rPr>
            </w:pPr>
            <w:r>
              <w:rPr>
                <w:b/>
                <w:bCs/>
                <w:sz w:val="20"/>
                <w:szCs w:val="20"/>
              </w:rPr>
              <w:t>90,27%</w:t>
            </w:r>
          </w:p>
        </w:tc>
      </w:tr>
      <w:tr w:rsidR="008B2B78" w:rsidRPr="00CC08A5" w:rsidTr="008B2B78">
        <w:trPr>
          <w:trHeight w:val="255"/>
        </w:trPr>
        <w:tc>
          <w:tcPr>
            <w:tcW w:w="4133" w:type="dxa"/>
            <w:noWrap/>
            <w:vAlign w:val="bottom"/>
            <w:hideMark/>
          </w:tcPr>
          <w:p w:rsidR="008B2B78" w:rsidRPr="00E02408" w:rsidRDefault="008B2B78" w:rsidP="008B2B78">
            <w:pPr>
              <w:rPr>
                <w:rFonts w:ascii="Arial" w:hAnsi="Arial" w:cs="Arial"/>
                <w:sz w:val="20"/>
                <w:szCs w:val="20"/>
              </w:rPr>
            </w:pPr>
            <w:r w:rsidRPr="00E02408">
              <w:rPr>
                <w:rFonts w:ascii="Arial" w:hAnsi="Arial" w:cs="Arial"/>
                <w:sz w:val="20"/>
                <w:szCs w:val="20"/>
              </w:rPr>
              <w:t>Sufinanc.medicinski potpomognute oplodnje</w:t>
            </w:r>
          </w:p>
        </w:tc>
        <w:tc>
          <w:tcPr>
            <w:tcW w:w="1391" w:type="dxa"/>
            <w:noWrap/>
          </w:tcPr>
          <w:p w:rsidR="008B2B78" w:rsidRPr="00CC08A5" w:rsidRDefault="008B2B78" w:rsidP="008B2B78">
            <w:pPr>
              <w:jc w:val="right"/>
              <w:rPr>
                <w:bCs/>
                <w:sz w:val="20"/>
                <w:szCs w:val="20"/>
              </w:rPr>
            </w:pPr>
            <w:r>
              <w:rPr>
                <w:bCs/>
                <w:sz w:val="20"/>
                <w:szCs w:val="20"/>
              </w:rPr>
              <w:t>0,00</w:t>
            </w:r>
          </w:p>
        </w:tc>
        <w:tc>
          <w:tcPr>
            <w:tcW w:w="1370" w:type="dxa"/>
            <w:noWrap/>
          </w:tcPr>
          <w:p w:rsidR="008B2B78" w:rsidRPr="00CC08A5" w:rsidRDefault="008B2B78" w:rsidP="008B2B78">
            <w:pPr>
              <w:jc w:val="right"/>
              <w:rPr>
                <w:bCs/>
                <w:sz w:val="20"/>
                <w:szCs w:val="20"/>
              </w:rPr>
            </w:pPr>
            <w:r>
              <w:rPr>
                <w:bCs/>
                <w:sz w:val="20"/>
                <w:szCs w:val="20"/>
              </w:rPr>
              <w:t>2.655,00</w:t>
            </w:r>
          </w:p>
        </w:tc>
        <w:tc>
          <w:tcPr>
            <w:tcW w:w="1450" w:type="dxa"/>
            <w:noWrap/>
          </w:tcPr>
          <w:p w:rsidR="008B2B78" w:rsidRPr="00CC08A5" w:rsidRDefault="008B2B78" w:rsidP="008B2B78">
            <w:pPr>
              <w:jc w:val="right"/>
              <w:rPr>
                <w:bCs/>
                <w:sz w:val="20"/>
                <w:szCs w:val="20"/>
              </w:rPr>
            </w:pPr>
            <w:r>
              <w:rPr>
                <w:bCs/>
                <w:sz w:val="20"/>
                <w:szCs w:val="20"/>
              </w:rPr>
              <w:t>0,00</w:t>
            </w:r>
          </w:p>
        </w:tc>
        <w:tc>
          <w:tcPr>
            <w:tcW w:w="1007" w:type="dxa"/>
            <w:noWrap/>
          </w:tcPr>
          <w:p w:rsidR="008B2B78" w:rsidRPr="00CC08A5" w:rsidRDefault="008B2B78" w:rsidP="008B2B78">
            <w:pPr>
              <w:jc w:val="center"/>
              <w:rPr>
                <w:bCs/>
                <w:sz w:val="20"/>
                <w:szCs w:val="20"/>
              </w:rPr>
            </w:pPr>
            <w:r>
              <w:rPr>
                <w:bCs/>
                <w:sz w:val="20"/>
                <w:szCs w:val="20"/>
              </w:rPr>
              <w:t>0,00%</w:t>
            </w:r>
          </w:p>
        </w:tc>
        <w:tc>
          <w:tcPr>
            <w:tcW w:w="1134" w:type="dxa"/>
            <w:noWrap/>
          </w:tcPr>
          <w:p w:rsidR="008B2B78" w:rsidRPr="00CC08A5" w:rsidRDefault="008B2B78" w:rsidP="008B2B78">
            <w:pPr>
              <w:jc w:val="center"/>
              <w:rPr>
                <w:bCs/>
                <w:sz w:val="20"/>
                <w:szCs w:val="20"/>
              </w:rPr>
            </w:pPr>
            <w:r>
              <w:rPr>
                <w:bCs/>
                <w:sz w:val="20"/>
                <w:szCs w:val="20"/>
              </w:rPr>
              <w:t>0,00%</w:t>
            </w:r>
          </w:p>
        </w:tc>
      </w:tr>
      <w:tr w:rsidR="008B2B78" w:rsidRPr="00990421" w:rsidTr="008B2B78">
        <w:trPr>
          <w:trHeight w:val="255"/>
        </w:trPr>
        <w:tc>
          <w:tcPr>
            <w:tcW w:w="4133" w:type="dxa"/>
            <w:noWrap/>
            <w:hideMark/>
          </w:tcPr>
          <w:p w:rsidR="008B2B78" w:rsidRPr="00990421" w:rsidRDefault="008B2B78" w:rsidP="00420EC7">
            <w:pPr>
              <w:rPr>
                <w:bCs/>
                <w:sz w:val="20"/>
                <w:szCs w:val="20"/>
              </w:rPr>
            </w:pPr>
            <w:r w:rsidRPr="00E02408">
              <w:rPr>
                <w:rFonts w:ascii="Arial" w:hAnsi="Arial" w:cs="Arial"/>
                <w:sz w:val="20"/>
                <w:szCs w:val="20"/>
              </w:rPr>
              <w:t>Stipendije učenicima i studentima</w:t>
            </w:r>
          </w:p>
        </w:tc>
        <w:tc>
          <w:tcPr>
            <w:tcW w:w="1391" w:type="dxa"/>
            <w:noWrap/>
          </w:tcPr>
          <w:p w:rsidR="008B2B78" w:rsidRPr="00990421" w:rsidRDefault="00917B50" w:rsidP="00420EC7">
            <w:pPr>
              <w:jc w:val="right"/>
              <w:rPr>
                <w:bCs/>
                <w:sz w:val="20"/>
                <w:szCs w:val="20"/>
              </w:rPr>
            </w:pPr>
            <w:r>
              <w:rPr>
                <w:bCs/>
                <w:sz w:val="20"/>
                <w:szCs w:val="20"/>
              </w:rPr>
              <w:t>40.480</w:t>
            </w:r>
            <w:r w:rsidR="008B2B78">
              <w:rPr>
                <w:bCs/>
                <w:sz w:val="20"/>
                <w:szCs w:val="20"/>
              </w:rPr>
              <w:t>,00</w:t>
            </w:r>
          </w:p>
        </w:tc>
        <w:tc>
          <w:tcPr>
            <w:tcW w:w="1370" w:type="dxa"/>
            <w:noWrap/>
          </w:tcPr>
          <w:p w:rsidR="008B2B78" w:rsidRPr="00990421" w:rsidRDefault="00917B50" w:rsidP="00420EC7">
            <w:pPr>
              <w:jc w:val="right"/>
              <w:rPr>
                <w:bCs/>
                <w:sz w:val="20"/>
                <w:szCs w:val="20"/>
              </w:rPr>
            </w:pPr>
            <w:r>
              <w:rPr>
                <w:bCs/>
                <w:sz w:val="20"/>
                <w:szCs w:val="20"/>
              </w:rPr>
              <w:t>63.350</w:t>
            </w:r>
            <w:r w:rsidR="008B2B78">
              <w:rPr>
                <w:bCs/>
                <w:sz w:val="20"/>
                <w:szCs w:val="20"/>
              </w:rPr>
              <w:t>,00</w:t>
            </w:r>
          </w:p>
        </w:tc>
        <w:tc>
          <w:tcPr>
            <w:tcW w:w="1450" w:type="dxa"/>
            <w:noWrap/>
          </w:tcPr>
          <w:p w:rsidR="008B2B78" w:rsidRPr="00990421" w:rsidRDefault="00917B50" w:rsidP="00420EC7">
            <w:pPr>
              <w:jc w:val="right"/>
              <w:rPr>
                <w:bCs/>
                <w:sz w:val="20"/>
                <w:szCs w:val="20"/>
              </w:rPr>
            </w:pPr>
            <w:r>
              <w:rPr>
                <w:bCs/>
                <w:sz w:val="20"/>
                <w:szCs w:val="20"/>
              </w:rPr>
              <w:t>60</w:t>
            </w:r>
            <w:r w:rsidR="008B2B78">
              <w:rPr>
                <w:bCs/>
                <w:sz w:val="20"/>
                <w:szCs w:val="20"/>
              </w:rPr>
              <w:t>.</w:t>
            </w:r>
            <w:r>
              <w:rPr>
                <w:bCs/>
                <w:sz w:val="20"/>
                <w:szCs w:val="20"/>
              </w:rPr>
              <w:t>75</w:t>
            </w:r>
            <w:r w:rsidR="008B2B78">
              <w:rPr>
                <w:bCs/>
                <w:sz w:val="20"/>
                <w:szCs w:val="20"/>
              </w:rPr>
              <w:t>0,00</w:t>
            </w:r>
          </w:p>
        </w:tc>
        <w:tc>
          <w:tcPr>
            <w:tcW w:w="1007" w:type="dxa"/>
            <w:noWrap/>
          </w:tcPr>
          <w:p w:rsidR="008B2B78" w:rsidRPr="00990421" w:rsidRDefault="0039742A" w:rsidP="008B2B78">
            <w:pPr>
              <w:jc w:val="center"/>
              <w:rPr>
                <w:bCs/>
                <w:sz w:val="20"/>
                <w:szCs w:val="20"/>
              </w:rPr>
            </w:pPr>
            <w:r>
              <w:rPr>
                <w:bCs/>
                <w:sz w:val="20"/>
                <w:szCs w:val="20"/>
              </w:rPr>
              <w:t>1</w:t>
            </w:r>
            <w:r w:rsidR="00917B50">
              <w:rPr>
                <w:bCs/>
                <w:sz w:val="20"/>
                <w:szCs w:val="20"/>
              </w:rPr>
              <w:t>50,07</w:t>
            </w:r>
            <w:r>
              <w:rPr>
                <w:bCs/>
                <w:sz w:val="20"/>
                <w:szCs w:val="20"/>
              </w:rPr>
              <w:t>%</w:t>
            </w:r>
          </w:p>
        </w:tc>
        <w:tc>
          <w:tcPr>
            <w:tcW w:w="1134" w:type="dxa"/>
            <w:noWrap/>
          </w:tcPr>
          <w:p w:rsidR="008B2B78" w:rsidRPr="00990421" w:rsidRDefault="008B2B78" w:rsidP="008B2B78">
            <w:pPr>
              <w:jc w:val="center"/>
              <w:rPr>
                <w:bCs/>
                <w:sz w:val="20"/>
                <w:szCs w:val="20"/>
              </w:rPr>
            </w:pPr>
            <w:r>
              <w:rPr>
                <w:bCs/>
                <w:sz w:val="20"/>
                <w:szCs w:val="20"/>
              </w:rPr>
              <w:t>95,</w:t>
            </w:r>
            <w:r w:rsidR="00917B50">
              <w:rPr>
                <w:bCs/>
                <w:sz w:val="20"/>
                <w:szCs w:val="20"/>
              </w:rPr>
              <w:t>9</w:t>
            </w:r>
            <w:r>
              <w:rPr>
                <w:bCs/>
                <w:sz w:val="20"/>
                <w:szCs w:val="20"/>
              </w:rPr>
              <w:t>0%</w:t>
            </w:r>
          </w:p>
        </w:tc>
      </w:tr>
      <w:tr w:rsidR="008B2B78" w:rsidRPr="00990421" w:rsidTr="00420EC7">
        <w:trPr>
          <w:trHeight w:val="255"/>
        </w:trPr>
        <w:tc>
          <w:tcPr>
            <w:tcW w:w="4133" w:type="dxa"/>
            <w:noWrap/>
          </w:tcPr>
          <w:p w:rsidR="008B2B78" w:rsidRDefault="008B2B78" w:rsidP="00420EC7">
            <w:pPr>
              <w:rPr>
                <w:bCs/>
                <w:sz w:val="20"/>
                <w:szCs w:val="20"/>
              </w:rPr>
            </w:pPr>
            <w:r w:rsidRPr="00E02408">
              <w:rPr>
                <w:rFonts w:ascii="Arial" w:hAnsi="Arial" w:cs="Arial"/>
                <w:sz w:val="20"/>
                <w:szCs w:val="20"/>
              </w:rPr>
              <w:t>Potpora za novorođenu djecu</w:t>
            </w:r>
          </w:p>
        </w:tc>
        <w:tc>
          <w:tcPr>
            <w:tcW w:w="1391" w:type="dxa"/>
            <w:noWrap/>
          </w:tcPr>
          <w:p w:rsidR="008B2B78" w:rsidRDefault="00917B50" w:rsidP="00420EC7">
            <w:pPr>
              <w:jc w:val="right"/>
              <w:rPr>
                <w:bCs/>
                <w:sz w:val="20"/>
                <w:szCs w:val="20"/>
              </w:rPr>
            </w:pPr>
            <w:r>
              <w:rPr>
                <w:bCs/>
                <w:sz w:val="20"/>
                <w:szCs w:val="20"/>
              </w:rPr>
              <w:t>34.078,24</w:t>
            </w:r>
          </w:p>
        </w:tc>
        <w:tc>
          <w:tcPr>
            <w:tcW w:w="1370" w:type="dxa"/>
            <w:noWrap/>
          </w:tcPr>
          <w:p w:rsidR="008B2B78" w:rsidRDefault="00917B50" w:rsidP="00420EC7">
            <w:pPr>
              <w:jc w:val="right"/>
              <w:rPr>
                <w:bCs/>
                <w:sz w:val="20"/>
                <w:szCs w:val="20"/>
              </w:rPr>
            </w:pPr>
            <w:r>
              <w:rPr>
                <w:bCs/>
                <w:sz w:val="20"/>
                <w:szCs w:val="20"/>
              </w:rPr>
              <w:t>29</w:t>
            </w:r>
            <w:r w:rsidR="008B2B78">
              <w:rPr>
                <w:bCs/>
                <w:sz w:val="20"/>
                <w:szCs w:val="20"/>
              </w:rPr>
              <w:t>.000,00</w:t>
            </w:r>
          </w:p>
        </w:tc>
        <w:tc>
          <w:tcPr>
            <w:tcW w:w="1450" w:type="dxa"/>
            <w:noWrap/>
          </w:tcPr>
          <w:p w:rsidR="008B2B78" w:rsidRPr="00990421" w:rsidRDefault="00917B50" w:rsidP="00420EC7">
            <w:pPr>
              <w:jc w:val="right"/>
              <w:rPr>
                <w:bCs/>
                <w:sz w:val="20"/>
                <w:szCs w:val="20"/>
              </w:rPr>
            </w:pPr>
            <w:r>
              <w:rPr>
                <w:bCs/>
                <w:sz w:val="20"/>
                <w:szCs w:val="20"/>
              </w:rPr>
              <w:t>26.143,96</w:t>
            </w:r>
          </w:p>
        </w:tc>
        <w:tc>
          <w:tcPr>
            <w:tcW w:w="1007" w:type="dxa"/>
            <w:noWrap/>
          </w:tcPr>
          <w:p w:rsidR="008B2B78" w:rsidRDefault="002A5614" w:rsidP="008B2B78">
            <w:pPr>
              <w:jc w:val="center"/>
              <w:rPr>
                <w:bCs/>
                <w:sz w:val="20"/>
                <w:szCs w:val="20"/>
              </w:rPr>
            </w:pPr>
            <w:r>
              <w:rPr>
                <w:bCs/>
                <w:sz w:val="20"/>
                <w:szCs w:val="20"/>
              </w:rPr>
              <w:t>76,72</w:t>
            </w:r>
            <w:r w:rsidR="0039742A">
              <w:rPr>
                <w:bCs/>
                <w:sz w:val="20"/>
                <w:szCs w:val="20"/>
              </w:rPr>
              <w:t>%</w:t>
            </w:r>
          </w:p>
        </w:tc>
        <w:tc>
          <w:tcPr>
            <w:tcW w:w="1134" w:type="dxa"/>
            <w:noWrap/>
          </w:tcPr>
          <w:p w:rsidR="008B2B78" w:rsidRDefault="00917B50" w:rsidP="008B2B78">
            <w:pPr>
              <w:jc w:val="center"/>
              <w:rPr>
                <w:bCs/>
                <w:sz w:val="20"/>
                <w:szCs w:val="20"/>
              </w:rPr>
            </w:pPr>
            <w:r>
              <w:rPr>
                <w:bCs/>
                <w:sz w:val="20"/>
                <w:szCs w:val="20"/>
              </w:rPr>
              <w:t>90,15</w:t>
            </w:r>
            <w:r w:rsidR="008B2B78">
              <w:rPr>
                <w:bCs/>
                <w:sz w:val="20"/>
                <w:szCs w:val="20"/>
              </w:rPr>
              <w:t>%</w:t>
            </w:r>
          </w:p>
        </w:tc>
      </w:tr>
      <w:tr w:rsidR="008B2B78" w:rsidRPr="00990421" w:rsidTr="00420EC7">
        <w:trPr>
          <w:trHeight w:val="255"/>
        </w:trPr>
        <w:tc>
          <w:tcPr>
            <w:tcW w:w="4133" w:type="dxa"/>
            <w:noWrap/>
          </w:tcPr>
          <w:p w:rsidR="008B2B78" w:rsidRDefault="008B2B78" w:rsidP="00420EC7">
            <w:pPr>
              <w:rPr>
                <w:bCs/>
                <w:sz w:val="20"/>
                <w:szCs w:val="20"/>
              </w:rPr>
            </w:pPr>
            <w:r w:rsidRPr="00E02408">
              <w:rPr>
                <w:rFonts w:ascii="Arial" w:hAnsi="Arial" w:cs="Arial"/>
                <w:sz w:val="20"/>
                <w:szCs w:val="20"/>
              </w:rPr>
              <w:t>Jednokratne novčane pomoći</w:t>
            </w:r>
          </w:p>
        </w:tc>
        <w:tc>
          <w:tcPr>
            <w:tcW w:w="1391" w:type="dxa"/>
            <w:noWrap/>
          </w:tcPr>
          <w:p w:rsidR="008B2B78" w:rsidRDefault="00917B50" w:rsidP="00420EC7">
            <w:pPr>
              <w:jc w:val="right"/>
              <w:rPr>
                <w:bCs/>
                <w:sz w:val="20"/>
                <w:szCs w:val="20"/>
              </w:rPr>
            </w:pPr>
            <w:r>
              <w:rPr>
                <w:bCs/>
                <w:sz w:val="20"/>
                <w:szCs w:val="20"/>
              </w:rPr>
              <w:t>1.</w:t>
            </w:r>
            <w:r w:rsidR="002A5614">
              <w:rPr>
                <w:bCs/>
                <w:sz w:val="20"/>
                <w:szCs w:val="20"/>
              </w:rPr>
              <w:t>0</w:t>
            </w:r>
            <w:r w:rsidR="0039742A">
              <w:rPr>
                <w:bCs/>
                <w:sz w:val="20"/>
                <w:szCs w:val="20"/>
              </w:rPr>
              <w:t>00,00</w:t>
            </w:r>
          </w:p>
        </w:tc>
        <w:tc>
          <w:tcPr>
            <w:tcW w:w="1370" w:type="dxa"/>
            <w:noWrap/>
          </w:tcPr>
          <w:p w:rsidR="008B2B78" w:rsidRDefault="00917B50" w:rsidP="00420EC7">
            <w:pPr>
              <w:jc w:val="right"/>
              <w:rPr>
                <w:bCs/>
                <w:sz w:val="20"/>
                <w:szCs w:val="20"/>
              </w:rPr>
            </w:pPr>
            <w:r>
              <w:rPr>
                <w:bCs/>
                <w:sz w:val="20"/>
                <w:szCs w:val="20"/>
              </w:rPr>
              <w:t>3</w:t>
            </w:r>
            <w:r w:rsidR="008B2B78">
              <w:rPr>
                <w:bCs/>
                <w:sz w:val="20"/>
                <w:szCs w:val="20"/>
              </w:rPr>
              <w:t>.000,00</w:t>
            </w:r>
          </w:p>
        </w:tc>
        <w:tc>
          <w:tcPr>
            <w:tcW w:w="1450" w:type="dxa"/>
            <w:noWrap/>
          </w:tcPr>
          <w:p w:rsidR="008B2B78" w:rsidRPr="00990421" w:rsidRDefault="008B2B78" w:rsidP="00420EC7">
            <w:pPr>
              <w:jc w:val="right"/>
              <w:rPr>
                <w:bCs/>
                <w:sz w:val="20"/>
                <w:szCs w:val="20"/>
              </w:rPr>
            </w:pPr>
            <w:r>
              <w:rPr>
                <w:bCs/>
                <w:sz w:val="20"/>
                <w:szCs w:val="20"/>
              </w:rPr>
              <w:t>2.</w:t>
            </w:r>
            <w:r w:rsidR="00917B50">
              <w:rPr>
                <w:bCs/>
                <w:sz w:val="20"/>
                <w:szCs w:val="20"/>
              </w:rPr>
              <w:t>588,90</w:t>
            </w:r>
          </w:p>
        </w:tc>
        <w:tc>
          <w:tcPr>
            <w:tcW w:w="1007" w:type="dxa"/>
            <w:noWrap/>
          </w:tcPr>
          <w:p w:rsidR="008B2B78" w:rsidRDefault="002A5614" w:rsidP="008B2B78">
            <w:pPr>
              <w:jc w:val="center"/>
              <w:rPr>
                <w:bCs/>
                <w:sz w:val="20"/>
                <w:szCs w:val="20"/>
              </w:rPr>
            </w:pPr>
            <w:r>
              <w:rPr>
                <w:bCs/>
                <w:sz w:val="20"/>
                <w:szCs w:val="20"/>
              </w:rPr>
              <w:t>258,89</w:t>
            </w:r>
            <w:r w:rsidR="0039742A">
              <w:rPr>
                <w:bCs/>
                <w:sz w:val="20"/>
                <w:szCs w:val="20"/>
              </w:rPr>
              <w:t>%</w:t>
            </w:r>
          </w:p>
        </w:tc>
        <w:tc>
          <w:tcPr>
            <w:tcW w:w="1134" w:type="dxa"/>
            <w:noWrap/>
          </w:tcPr>
          <w:p w:rsidR="008B2B78" w:rsidRDefault="00917B50" w:rsidP="008B2B78">
            <w:pPr>
              <w:jc w:val="center"/>
              <w:rPr>
                <w:bCs/>
                <w:sz w:val="20"/>
                <w:szCs w:val="20"/>
              </w:rPr>
            </w:pPr>
            <w:r>
              <w:rPr>
                <w:bCs/>
                <w:sz w:val="20"/>
                <w:szCs w:val="20"/>
              </w:rPr>
              <w:t>86,30</w:t>
            </w:r>
            <w:r w:rsidR="008B2B78">
              <w:rPr>
                <w:bCs/>
                <w:sz w:val="20"/>
                <w:szCs w:val="20"/>
              </w:rPr>
              <w:t>%</w:t>
            </w:r>
          </w:p>
        </w:tc>
      </w:tr>
      <w:tr w:rsidR="008B2B78" w:rsidRPr="00990421" w:rsidTr="00420EC7">
        <w:trPr>
          <w:trHeight w:val="255"/>
        </w:trPr>
        <w:tc>
          <w:tcPr>
            <w:tcW w:w="4133" w:type="dxa"/>
            <w:noWrap/>
          </w:tcPr>
          <w:p w:rsidR="008B2B78" w:rsidRDefault="008B2B78" w:rsidP="00420EC7">
            <w:pPr>
              <w:rPr>
                <w:bCs/>
                <w:sz w:val="20"/>
                <w:szCs w:val="20"/>
              </w:rPr>
            </w:pPr>
            <w:r w:rsidRPr="00E02408">
              <w:rPr>
                <w:rFonts w:ascii="Arial" w:hAnsi="Arial" w:cs="Arial"/>
                <w:sz w:val="20"/>
                <w:szCs w:val="20"/>
              </w:rPr>
              <w:t>Pomoć djeci s teškoćama u razvoju</w:t>
            </w:r>
          </w:p>
        </w:tc>
        <w:tc>
          <w:tcPr>
            <w:tcW w:w="1391" w:type="dxa"/>
            <w:noWrap/>
          </w:tcPr>
          <w:p w:rsidR="008B2B78" w:rsidRDefault="0039742A" w:rsidP="00420EC7">
            <w:pPr>
              <w:jc w:val="right"/>
              <w:rPr>
                <w:bCs/>
                <w:sz w:val="20"/>
                <w:szCs w:val="20"/>
              </w:rPr>
            </w:pPr>
            <w:r>
              <w:rPr>
                <w:bCs/>
                <w:sz w:val="20"/>
                <w:szCs w:val="20"/>
              </w:rPr>
              <w:t>0,00</w:t>
            </w:r>
          </w:p>
        </w:tc>
        <w:tc>
          <w:tcPr>
            <w:tcW w:w="1370" w:type="dxa"/>
            <w:noWrap/>
          </w:tcPr>
          <w:p w:rsidR="008B2B78" w:rsidRDefault="008B2B78" w:rsidP="00420EC7">
            <w:pPr>
              <w:jc w:val="right"/>
              <w:rPr>
                <w:bCs/>
                <w:sz w:val="20"/>
                <w:szCs w:val="20"/>
              </w:rPr>
            </w:pPr>
            <w:r>
              <w:rPr>
                <w:bCs/>
                <w:sz w:val="20"/>
                <w:szCs w:val="20"/>
              </w:rPr>
              <w:t>265,00</w:t>
            </w:r>
          </w:p>
        </w:tc>
        <w:tc>
          <w:tcPr>
            <w:tcW w:w="1450" w:type="dxa"/>
            <w:noWrap/>
          </w:tcPr>
          <w:p w:rsidR="008B2B78" w:rsidRPr="00990421" w:rsidRDefault="008B2B78" w:rsidP="00420EC7">
            <w:pPr>
              <w:jc w:val="right"/>
              <w:rPr>
                <w:bCs/>
                <w:sz w:val="20"/>
                <w:szCs w:val="20"/>
              </w:rPr>
            </w:pPr>
            <w:r>
              <w:rPr>
                <w:bCs/>
                <w:sz w:val="20"/>
                <w:szCs w:val="20"/>
              </w:rPr>
              <w:t>0,00</w:t>
            </w:r>
          </w:p>
        </w:tc>
        <w:tc>
          <w:tcPr>
            <w:tcW w:w="1007" w:type="dxa"/>
            <w:noWrap/>
          </w:tcPr>
          <w:p w:rsidR="008B2B78" w:rsidRDefault="0039742A" w:rsidP="008B2B78">
            <w:pPr>
              <w:jc w:val="center"/>
              <w:rPr>
                <w:bCs/>
                <w:sz w:val="20"/>
                <w:szCs w:val="20"/>
              </w:rPr>
            </w:pPr>
            <w:r>
              <w:rPr>
                <w:bCs/>
                <w:sz w:val="20"/>
                <w:szCs w:val="20"/>
              </w:rPr>
              <w:t>0,00%</w:t>
            </w:r>
          </w:p>
        </w:tc>
        <w:tc>
          <w:tcPr>
            <w:tcW w:w="1134" w:type="dxa"/>
            <w:noWrap/>
          </w:tcPr>
          <w:p w:rsidR="008B2B78" w:rsidRDefault="008B2B78" w:rsidP="008B2B78">
            <w:pPr>
              <w:jc w:val="center"/>
              <w:rPr>
                <w:bCs/>
                <w:sz w:val="20"/>
                <w:szCs w:val="20"/>
              </w:rPr>
            </w:pPr>
            <w:r>
              <w:rPr>
                <w:bCs/>
                <w:sz w:val="20"/>
                <w:szCs w:val="20"/>
              </w:rPr>
              <w:t>0,00%</w:t>
            </w:r>
          </w:p>
        </w:tc>
      </w:tr>
      <w:tr w:rsidR="008B2B78" w:rsidRPr="00990421" w:rsidTr="00420EC7">
        <w:trPr>
          <w:trHeight w:val="255"/>
        </w:trPr>
        <w:tc>
          <w:tcPr>
            <w:tcW w:w="4133" w:type="dxa"/>
            <w:noWrap/>
          </w:tcPr>
          <w:p w:rsidR="008B2B78" w:rsidRDefault="008B2B78" w:rsidP="00420EC7">
            <w:pPr>
              <w:rPr>
                <w:bCs/>
                <w:sz w:val="20"/>
                <w:szCs w:val="20"/>
              </w:rPr>
            </w:pPr>
            <w:r w:rsidRPr="00E02408">
              <w:rPr>
                <w:rFonts w:ascii="Arial" w:hAnsi="Arial" w:cs="Arial"/>
                <w:sz w:val="20"/>
                <w:szCs w:val="20"/>
              </w:rPr>
              <w:t>Zaštita od nasilja u obitelji</w:t>
            </w:r>
          </w:p>
        </w:tc>
        <w:tc>
          <w:tcPr>
            <w:tcW w:w="1391" w:type="dxa"/>
            <w:noWrap/>
          </w:tcPr>
          <w:p w:rsidR="008B2B78" w:rsidRDefault="0039742A" w:rsidP="00420EC7">
            <w:pPr>
              <w:jc w:val="right"/>
              <w:rPr>
                <w:bCs/>
                <w:sz w:val="20"/>
                <w:szCs w:val="20"/>
              </w:rPr>
            </w:pPr>
            <w:r>
              <w:rPr>
                <w:bCs/>
                <w:sz w:val="20"/>
                <w:szCs w:val="20"/>
              </w:rPr>
              <w:t>0,00</w:t>
            </w:r>
          </w:p>
        </w:tc>
        <w:tc>
          <w:tcPr>
            <w:tcW w:w="1370" w:type="dxa"/>
            <w:noWrap/>
          </w:tcPr>
          <w:p w:rsidR="008B2B78" w:rsidRDefault="008B2B78" w:rsidP="00420EC7">
            <w:pPr>
              <w:jc w:val="right"/>
              <w:rPr>
                <w:bCs/>
                <w:sz w:val="20"/>
                <w:szCs w:val="20"/>
              </w:rPr>
            </w:pPr>
            <w:r>
              <w:rPr>
                <w:bCs/>
                <w:sz w:val="20"/>
                <w:szCs w:val="20"/>
              </w:rPr>
              <w:t>133,00</w:t>
            </w:r>
          </w:p>
        </w:tc>
        <w:tc>
          <w:tcPr>
            <w:tcW w:w="1450" w:type="dxa"/>
            <w:noWrap/>
          </w:tcPr>
          <w:p w:rsidR="008B2B78" w:rsidRPr="00990421" w:rsidRDefault="008B2B78" w:rsidP="00420EC7">
            <w:pPr>
              <w:jc w:val="right"/>
              <w:rPr>
                <w:bCs/>
                <w:sz w:val="20"/>
                <w:szCs w:val="20"/>
              </w:rPr>
            </w:pPr>
            <w:r>
              <w:rPr>
                <w:bCs/>
                <w:sz w:val="20"/>
                <w:szCs w:val="20"/>
              </w:rPr>
              <w:t>0,00</w:t>
            </w:r>
          </w:p>
        </w:tc>
        <w:tc>
          <w:tcPr>
            <w:tcW w:w="1007" w:type="dxa"/>
            <w:noWrap/>
          </w:tcPr>
          <w:p w:rsidR="008B2B78" w:rsidRDefault="0039742A" w:rsidP="008B2B78">
            <w:pPr>
              <w:jc w:val="center"/>
              <w:rPr>
                <w:bCs/>
                <w:sz w:val="20"/>
                <w:szCs w:val="20"/>
              </w:rPr>
            </w:pPr>
            <w:r>
              <w:rPr>
                <w:bCs/>
                <w:sz w:val="20"/>
                <w:szCs w:val="20"/>
              </w:rPr>
              <w:t>0,00%</w:t>
            </w:r>
          </w:p>
        </w:tc>
        <w:tc>
          <w:tcPr>
            <w:tcW w:w="1134" w:type="dxa"/>
            <w:noWrap/>
          </w:tcPr>
          <w:p w:rsidR="008B2B78" w:rsidRDefault="008B2B78" w:rsidP="008B2B78">
            <w:pPr>
              <w:jc w:val="center"/>
              <w:rPr>
                <w:bCs/>
                <w:sz w:val="20"/>
                <w:szCs w:val="20"/>
              </w:rPr>
            </w:pPr>
            <w:r>
              <w:rPr>
                <w:bCs/>
                <w:sz w:val="20"/>
                <w:szCs w:val="20"/>
              </w:rPr>
              <w:t>0,00%</w:t>
            </w:r>
          </w:p>
        </w:tc>
      </w:tr>
      <w:tr w:rsidR="008B2B78" w:rsidRPr="00990421" w:rsidTr="00420EC7">
        <w:trPr>
          <w:trHeight w:val="255"/>
        </w:trPr>
        <w:tc>
          <w:tcPr>
            <w:tcW w:w="4133" w:type="dxa"/>
            <w:noWrap/>
            <w:vAlign w:val="bottom"/>
          </w:tcPr>
          <w:p w:rsidR="008B2B78" w:rsidRPr="00E02408" w:rsidRDefault="008B2B78" w:rsidP="008B2B78">
            <w:pPr>
              <w:rPr>
                <w:rFonts w:ascii="Arial" w:hAnsi="Arial" w:cs="Arial"/>
                <w:sz w:val="20"/>
                <w:szCs w:val="20"/>
              </w:rPr>
            </w:pPr>
            <w:r w:rsidRPr="00E02408">
              <w:rPr>
                <w:rFonts w:ascii="Arial" w:hAnsi="Arial" w:cs="Arial"/>
                <w:sz w:val="20"/>
                <w:szCs w:val="20"/>
              </w:rPr>
              <w:t>Dodatno subvencioniranje cijene boravka djece u DV</w:t>
            </w:r>
            <w:r>
              <w:rPr>
                <w:rFonts w:ascii="Arial" w:hAnsi="Arial" w:cs="Arial"/>
                <w:sz w:val="20"/>
                <w:szCs w:val="20"/>
              </w:rPr>
              <w:t xml:space="preserve"> Radost</w:t>
            </w:r>
          </w:p>
        </w:tc>
        <w:tc>
          <w:tcPr>
            <w:tcW w:w="1391" w:type="dxa"/>
            <w:noWrap/>
          </w:tcPr>
          <w:p w:rsidR="008B2B78" w:rsidRDefault="00917B50" w:rsidP="008B2B78">
            <w:pPr>
              <w:jc w:val="right"/>
              <w:rPr>
                <w:bCs/>
                <w:sz w:val="20"/>
                <w:szCs w:val="20"/>
              </w:rPr>
            </w:pPr>
            <w:r>
              <w:rPr>
                <w:bCs/>
                <w:sz w:val="20"/>
                <w:szCs w:val="20"/>
              </w:rPr>
              <w:t>1.862,52</w:t>
            </w:r>
          </w:p>
        </w:tc>
        <w:tc>
          <w:tcPr>
            <w:tcW w:w="1370" w:type="dxa"/>
            <w:noWrap/>
          </w:tcPr>
          <w:p w:rsidR="008B2B78" w:rsidRDefault="008B2B78" w:rsidP="008B2B78">
            <w:pPr>
              <w:jc w:val="right"/>
              <w:rPr>
                <w:bCs/>
                <w:sz w:val="20"/>
                <w:szCs w:val="20"/>
              </w:rPr>
            </w:pPr>
            <w:r>
              <w:rPr>
                <w:bCs/>
                <w:sz w:val="20"/>
                <w:szCs w:val="20"/>
              </w:rPr>
              <w:t>2.250,00</w:t>
            </w:r>
          </w:p>
        </w:tc>
        <w:tc>
          <w:tcPr>
            <w:tcW w:w="1450" w:type="dxa"/>
            <w:noWrap/>
          </w:tcPr>
          <w:p w:rsidR="008B2B78" w:rsidRPr="00990421" w:rsidRDefault="00917B50" w:rsidP="008B2B78">
            <w:pPr>
              <w:jc w:val="right"/>
              <w:rPr>
                <w:bCs/>
                <w:sz w:val="20"/>
                <w:szCs w:val="20"/>
              </w:rPr>
            </w:pPr>
            <w:r>
              <w:rPr>
                <w:bCs/>
                <w:sz w:val="20"/>
                <w:szCs w:val="20"/>
              </w:rPr>
              <w:t>1.965,27</w:t>
            </w:r>
          </w:p>
        </w:tc>
        <w:tc>
          <w:tcPr>
            <w:tcW w:w="1007" w:type="dxa"/>
            <w:noWrap/>
          </w:tcPr>
          <w:p w:rsidR="008B2B78" w:rsidRDefault="002A5614" w:rsidP="008B2B78">
            <w:pPr>
              <w:jc w:val="center"/>
              <w:rPr>
                <w:bCs/>
                <w:sz w:val="20"/>
                <w:szCs w:val="20"/>
              </w:rPr>
            </w:pPr>
            <w:r>
              <w:rPr>
                <w:bCs/>
                <w:sz w:val="20"/>
                <w:szCs w:val="20"/>
              </w:rPr>
              <w:t>105,52</w:t>
            </w:r>
            <w:r w:rsidR="0039742A">
              <w:rPr>
                <w:bCs/>
                <w:sz w:val="20"/>
                <w:szCs w:val="20"/>
              </w:rPr>
              <w:t>%</w:t>
            </w:r>
          </w:p>
        </w:tc>
        <w:tc>
          <w:tcPr>
            <w:tcW w:w="1134" w:type="dxa"/>
            <w:noWrap/>
          </w:tcPr>
          <w:p w:rsidR="008B2B78" w:rsidRDefault="00917B50" w:rsidP="008B2B78">
            <w:pPr>
              <w:jc w:val="center"/>
              <w:rPr>
                <w:bCs/>
                <w:sz w:val="20"/>
                <w:szCs w:val="20"/>
              </w:rPr>
            </w:pPr>
            <w:r>
              <w:rPr>
                <w:bCs/>
                <w:sz w:val="20"/>
                <w:szCs w:val="20"/>
              </w:rPr>
              <w:t>87,35</w:t>
            </w:r>
            <w:r w:rsidR="008B2B78">
              <w:rPr>
                <w:bCs/>
                <w:sz w:val="20"/>
                <w:szCs w:val="20"/>
              </w:rPr>
              <w:t>%</w:t>
            </w:r>
          </w:p>
        </w:tc>
      </w:tr>
      <w:tr w:rsidR="008B2B78" w:rsidRPr="00990421" w:rsidTr="00420EC7">
        <w:trPr>
          <w:trHeight w:val="255"/>
        </w:trPr>
        <w:tc>
          <w:tcPr>
            <w:tcW w:w="4133" w:type="dxa"/>
            <w:noWrap/>
            <w:vAlign w:val="bottom"/>
          </w:tcPr>
          <w:p w:rsidR="008B2B78" w:rsidRPr="00E02408" w:rsidRDefault="008B2B78" w:rsidP="008B2B78">
            <w:pPr>
              <w:rPr>
                <w:rFonts w:ascii="Arial" w:hAnsi="Arial" w:cs="Arial"/>
                <w:sz w:val="20"/>
                <w:szCs w:val="20"/>
              </w:rPr>
            </w:pPr>
            <w:r w:rsidRPr="00E02408">
              <w:rPr>
                <w:rFonts w:ascii="Arial" w:hAnsi="Arial" w:cs="Arial"/>
                <w:sz w:val="20"/>
                <w:szCs w:val="20"/>
              </w:rPr>
              <w:t>Naknada za troškove stanovanja</w:t>
            </w:r>
          </w:p>
        </w:tc>
        <w:tc>
          <w:tcPr>
            <w:tcW w:w="1391" w:type="dxa"/>
            <w:noWrap/>
          </w:tcPr>
          <w:p w:rsidR="008B2B78" w:rsidRDefault="00917B50" w:rsidP="008B2B78">
            <w:pPr>
              <w:jc w:val="right"/>
              <w:rPr>
                <w:bCs/>
                <w:sz w:val="20"/>
                <w:szCs w:val="20"/>
              </w:rPr>
            </w:pPr>
            <w:r>
              <w:rPr>
                <w:bCs/>
                <w:sz w:val="20"/>
                <w:szCs w:val="20"/>
              </w:rPr>
              <w:t>286,58</w:t>
            </w:r>
          </w:p>
        </w:tc>
        <w:tc>
          <w:tcPr>
            <w:tcW w:w="1370" w:type="dxa"/>
            <w:noWrap/>
          </w:tcPr>
          <w:p w:rsidR="008B2B78" w:rsidRDefault="008B2B78" w:rsidP="008B2B78">
            <w:pPr>
              <w:jc w:val="right"/>
              <w:rPr>
                <w:bCs/>
                <w:sz w:val="20"/>
                <w:szCs w:val="20"/>
              </w:rPr>
            </w:pPr>
            <w:r>
              <w:rPr>
                <w:bCs/>
                <w:sz w:val="20"/>
                <w:szCs w:val="20"/>
              </w:rPr>
              <w:t>0,00</w:t>
            </w:r>
          </w:p>
        </w:tc>
        <w:tc>
          <w:tcPr>
            <w:tcW w:w="1450" w:type="dxa"/>
            <w:noWrap/>
          </w:tcPr>
          <w:p w:rsidR="008B2B78" w:rsidRPr="00990421" w:rsidRDefault="0039742A" w:rsidP="008B2B78">
            <w:pPr>
              <w:jc w:val="right"/>
              <w:rPr>
                <w:bCs/>
                <w:sz w:val="20"/>
                <w:szCs w:val="20"/>
              </w:rPr>
            </w:pPr>
            <w:r>
              <w:rPr>
                <w:bCs/>
                <w:sz w:val="20"/>
                <w:szCs w:val="20"/>
              </w:rPr>
              <w:t>0,00</w:t>
            </w:r>
          </w:p>
        </w:tc>
        <w:tc>
          <w:tcPr>
            <w:tcW w:w="1007" w:type="dxa"/>
            <w:noWrap/>
          </w:tcPr>
          <w:p w:rsidR="008B2B78" w:rsidRDefault="0039742A" w:rsidP="008B2B78">
            <w:pPr>
              <w:jc w:val="center"/>
              <w:rPr>
                <w:bCs/>
                <w:sz w:val="20"/>
                <w:szCs w:val="20"/>
              </w:rPr>
            </w:pPr>
            <w:r>
              <w:rPr>
                <w:bCs/>
                <w:sz w:val="20"/>
                <w:szCs w:val="20"/>
              </w:rPr>
              <w:t>0,00%</w:t>
            </w:r>
          </w:p>
        </w:tc>
        <w:tc>
          <w:tcPr>
            <w:tcW w:w="1134" w:type="dxa"/>
            <w:noWrap/>
          </w:tcPr>
          <w:p w:rsidR="008B2B78" w:rsidRDefault="0039742A" w:rsidP="008B2B78">
            <w:pPr>
              <w:jc w:val="center"/>
              <w:rPr>
                <w:bCs/>
                <w:sz w:val="20"/>
                <w:szCs w:val="20"/>
              </w:rPr>
            </w:pPr>
            <w:r>
              <w:rPr>
                <w:bCs/>
                <w:sz w:val="20"/>
                <w:szCs w:val="20"/>
              </w:rPr>
              <w:t>0,00%</w:t>
            </w:r>
          </w:p>
        </w:tc>
      </w:tr>
      <w:tr w:rsidR="008B2B78" w:rsidRPr="00990421" w:rsidTr="00420EC7">
        <w:trPr>
          <w:trHeight w:val="255"/>
        </w:trPr>
        <w:tc>
          <w:tcPr>
            <w:tcW w:w="4133" w:type="dxa"/>
            <w:noWrap/>
            <w:vAlign w:val="bottom"/>
          </w:tcPr>
          <w:p w:rsidR="008B2B78" w:rsidRPr="00E02408" w:rsidRDefault="008B2B78" w:rsidP="008B2B78">
            <w:pPr>
              <w:rPr>
                <w:rFonts w:ascii="Arial" w:hAnsi="Arial" w:cs="Arial"/>
                <w:sz w:val="20"/>
                <w:szCs w:val="20"/>
              </w:rPr>
            </w:pPr>
            <w:r w:rsidRPr="00E02408">
              <w:rPr>
                <w:rFonts w:ascii="Arial" w:hAnsi="Arial" w:cs="Arial"/>
                <w:sz w:val="20"/>
                <w:szCs w:val="20"/>
              </w:rPr>
              <w:t>Jednokratna naknada umirovljenicima</w:t>
            </w:r>
          </w:p>
        </w:tc>
        <w:tc>
          <w:tcPr>
            <w:tcW w:w="1391" w:type="dxa"/>
            <w:noWrap/>
          </w:tcPr>
          <w:p w:rsidR="008B2B78" w:rsidRDefault="00917B50" w:rsidP="008B2B78">
            <w:pPr>
              <w:jc w:val="right"/>
              <w:rPr>
                <w:bCs/>
                <w:sz w:val="20"/>
                <w:szCs w:val="20"/>
              </w:rPr>
            </w:pPr>
            <w:r>
              <w:rPr>
                <w:bCs/>
                <w:sz w:val="20"/>
                <w:szCs w:val="20"/>
              </w:rPr>
              <w:t>14.770,00</w:t>
            </w:r>
          </w:p>
        </w:tc>
        <w:tc>
          <w:tcPr>
            <w:tcW w:w="1370" w:type="dxa"/>
            <w:noWrap/>
          </w:tcPr>
          <w:p w:rsidR="008B2B78" w:rsidRDefault="00917B50" w:rsidP="008B2B78">
            <w:pPr>
              <w:jc w:val="right"/>
              <w:rPr>
                <w:bCs/>
                <w:sz w:val="20"/>
                <w:szCs w:val="20"/>
              </w:rPr>
            </w:pPr>
            <w:r>
              <w:rPr>
                <w:bCs/>
                <w:sz w:val="20"/>
                <w:szCs w:val="20"/>
              </w:rPr>
              <w:t>27.300</w:t>
            </w:r>
            <w:r w:rsidR="008B2B78">
              <w:rPr>
                <w:bCs/>
                <w:sz w:val="20"/>
                <w:szCs w:val="20"/>
              </w:rPr>
              <w:t>,00</w:t>
            </w:r>
          </w:p>
        </w:tc>
        <w:tc>
          <w:tcPr>
            <w:tcW w:w="1450" w:type="dxa"/>
            <w:noWrap/>
          </w:tcPr>
          <w:p w:rsidR="008B2B78" w:rsidRPr="00990421" w:rsidRDefault="00917B50" w:rsidP="008B2B78">
            <w:pPr>
              <w:jc w:val="right"/>
              <w:rPr>
                <w:bCs/>
                <w:sz w:val="20"/>
                <w:szCs w:val="20"/>
              </w:rPr>
            </w:pPr>
            <w:r>
              <w:rPr>
                <w:bCs/>
                <w:sz w:val="20"/>
                <w:szCs w:val="20"/>
              </w:rPr>
              <w:t>24.057</w:t>
            </w:r>
            <w:r w:rsidR="0039742A">
              <w:rPr>
                <w:bCs/>
                <w:sz w:val="20"/>
                <w:szCs w:val="20"/>
              </w:rPr>
              <w:t>,00</w:t>
            </w:r>
          </w:p>
        </w:tc>
        <w:tc>
          <w:tcPr>
            <w:tcW w:w="1007" w:type="dxa"/>
            <w:noWrap/>
          </w:tcPr>
          <w:p w:rsidR="008B2B78" w:rsidRDefault="002A5614" w:rsidP="008B2B78">
            <w:pPr>
              <w:jc w:val="center"/>
              <w:rPr>
                <w:bCs/>
                <w:sz w:val="20"/>
                <w:szCs w:val="20"/>
              </w:rPr>
            </w:pPr>
            <w:r>
              <w:rPr>
                <w:bCs/>
                <w:sz w:val="20"/>
                <w:szCs w:val="20"/>
              </w:rPr>
              <w:t>162,88</w:t>
            </w:r>
            <w:r w:rsidR="0039742A">
              <w:rPr>
                <w:bCs/>
                <w:sz w:val="20"/>
                <w:szCs w:val="20"/>
              </w:rPr>
              <w:t>%</w:t>
            </w:r>
          </w:p>
        </w:tc>
        <w:tc>
          <w:tcPr>
            <w:tcW w:w="1134" w:type="dxa"/>
            <w:noWrap/>
          </w:tcPr>
          <w:p w:rsidR="008B2B78" w:rsidRDefault="00917B50" w:rsidP="008B2B78">
            <w:pPr>
              <w:jc w:val="center"/>
              <w:rPr>
                <w:bCs/>
                <w:sz w:val="20"/>
                <w:szCs w:val="20"/>
              </w:rPr>
            </w:pPr>
            <w:r>
              <w:rPr>
                <w:bCs/>
                <w:sz w:val="20"/>
                <w:szCs w:val="20"/>
              </w:rPr>
              <w:t>88,12</w:t>
            </w:r>
            <w:r w:rsidR="0039742A">
              <w:rPr>
                <w:bCs/>
                <w:sz w:val="20"/>
                <w:szCs w:val="20"/>
              </w:rPr>
              <w:t>%</w:t>
            </w:r>
          </w:p>
        </w:tc>
      </w:tr>
    </w:tbl>
    <w:p w:rsidR="00EE0A96" w:rsidRDefault="00EE0A96" w:rsidP="000C1E51"/>
    <w:p w:rsidR="0039742A" w:rsidRDefault="00EE0A96" w:rsidP="003F25CE">
      <w:r w:rsidRPr="00351C61">
        <w:rPr>
          <w:b/>
          <w:u w:val="single"/>
        </w:rPr>
        <w:t xml:space="preserve">6. </w:t>
      </w:r>
      <w:r w:rsidR="00752B97">
        <w:rPr>
          <w:b/>
          <w:u w:val="single"/>
        </w:rPr>
        <w:t>Rashodi za donacije, kazne, naknade šteta i kapital</w:t>
      </w:r>
      <w:r w:rsidR="00A0292C">
        <w:rPr>
          <w:b/>
          <w:u w:val="single"/>
        </w:rPr>
        <w:t>ne pomoći</w:t>
      </w:r>
      <w:r w:rsidRPr="00351C61">
        <w:rPr>
          <w:b/>
          <w:u w:val="single"/>
        </w:rPr>
        <w:t xml:space="preserve"> (38)</w:t>
      </w:r>
      <w:r w:rsidR="00351C61">
        <w:t xml:space="preserve"> </w:t>
      </w:r>
    </w:p>
    <w:p w:rsidR="004354BA" w:rsidRDefault="004354BA" w:rsidP="000C1E51"/>
    <w:p w:rsidR="00EE0A96" w:rsidRDefault="0039742A" w:rsidP="000C1E51">
      <w:r w:rsidRPr="00194692">
        <w:t>U 202</w:t>
      </w:r>
      <w:r>
        <w:t>5</w:t>
      </w:r>
      <w:r w:rsidRPr="00194692">
        <w:t>. godin</w:t>
      </w:r>
      <w:r w:rsidR="00A0292C">
        <w:t>i</w:t>
      </w:r>
      <w:r w:rsidRPr="00194692">
        <w:t xml:space="preserve"> </w:t>
      </w:r>
      <w:r w:rsidR="00A0292C">
        <w:t xml:space="preserve">su </w:t>
      </w:r>
      <w:r w:rsidRPr="00194692">
        <w:t xml:space="preserve">izvršeni u iznosu od </w:t>
      </w:r>
      <w:r w:rsidR="00A0292C">
        <w:t>786.521,85</w:t>
      </w:r>
      <w:r w:rsidRPr="00194692">
        <w:t xml:space="preserve"> eura, što čini </w:t>
      </w:r>
      <w:r w:rsidR="00A0292C">
        <w:t>91,91</w:t>
      </w:r>
      <w:r w:rsidRPr="00194692">
        <w:t>% planiranih sredstava za 202</w:t>
      </w:r>
      <w:r w:rsidR="0015790A">
        <w:t>5</w:t>
      </w:r>
      <w:r w:rsidRPr="00194692">
        <w:t xml:space="preserve">. godinu. U odnosu na isto razdoblje prethodne godine </w:t>
      </w:r>
      <w:r w:rsidR="00A0292C">
        <w:t>predmetni</w:t>
      </w:r>
      <w:r w:rsidRPr="00194692">
        <w:t xml:space="preserve"> rashodi </w:t>
      </w:r>
      <w:r w:rsidR="0015790A">
        <w:t xml:space="preserve">povećani </w:t>
      </w:r>
      <w:r w:rsidRPr="00194692">
        <w:t xml:space="preserve">su za </w:t>
      </w:r>
      <w:r w:rsidR="00B94D03">
        <w:t>17,</w:t>
      </w:r>
      <w:r w:rsidR="00A0292C">
        <w:t>0</w:t>
      </w:r>
      <w:r w:rsidR="00B94D03">
        <w:t>9</w:t>
      </w:r>
      <w:r w:rsidRPr="00194692">
        <w:t xml:space="preserve">% odnosno </w:t>
      </w:r>
      <w:r w:rsidR="00A0292C">
        <w:t>114.817,00</w:t>
      </w:r>
      <w:r w:rsidRPr="00194692">
        <w:t xml:space="preserve"> eura. </w:t>
      </w:r>
      <w:r w:rsidR="0015790A">
        <w:t>To su rashodi Općine, a ne i proračunskih korisnika.</w:t>
      </w:r>
      <w:r w:rsidR="000D17E2">
        <w:t xml:space="preserve"> </w:t>
      </w:r>
      <w:r w:rsidR="00351C61">
        <w:t>Dijele se na:</w:t>
      </w:r>
    </w:p>
    <w:p w:rsidR="00A0292C" w:rsidRDefault="00A0292C" w:rsidP="000C1E51"/>
    <w:p w:rsidR="00A0292C" w:rsidRPr="00E32C8A" w:rsidRDefault="00351C61" w:rsidP="00A0292C">
      <w:r>
        <w:t xml:space="preserve">- </w:t>
      </w:r>
      <w:r w:rsidRPr="00FF4AD6">
        <w:rPr>
          <w:u w:val="single"/>
        </w:rPr>
        <w:t>381 Tekuće donacije</w:t>
      </w:r>
      <w:r>
        <w:t xml:space="preserve"> iz</w:t>
      </w:r>
      <w:r w:rsidR="0015790A">
        <w:t>vršene su u iznosu od</w:t>
      </w:r>
      <w:r>
        <w:t xml:space="preserve"> </w:t>
      </w:r>
      <w:r w:rsidR="00A0292C">
        <w:t>575.298,92</w:t>
      </w:r>
      <w:r w:rsidR="0015790A">
        <w:t xml:space="preserve"> eura</w:t>
      </w:r>
      <w:r>
        <w:t xml:space="preserve"> i veće su za </w:t>
      </w:r>
      <w:r w:rsidR="00A0292C">
        <w:t>21,92</w:t>
      </w:r>
      <w:r>
        <w:t xml:space="preserve">% u odnosu na </w:t>
      </w:r>
      <w:r w:rsidR="00B94D03">
        <w:t xml:space="preserve">isto razdoblje </w:t>
      </w:r>
      <w:r>
        <w:t>prethodn</w:t>
      </w:r>
      <w:r w:rsidR="00B94D03">
        <w:t>e</w:t>
      </w:r>
      <w:r>
        <w:t xml:space="preserve"> godin</w:t>
      </w:r>
      <w:r w:rsidR="00B94D03">
        <w:t>e</w:t>
      </w:r>
      <w:r>
        <w:t xml:space="preserve">. Odnose se na financiranje udruga i </w:t>
      </w:r>
      <w:r w:rsidR="001C0D66">
        <w:t xml:space="preserve">svih </w:t>
      </w:r>
      <w:r>
        <w:t>manifestacija u športu i kulturi</w:t>
      </w:r>
      <w:r w:rsidR="001C0D66">
        <w:t>, udruga u tehničkoj kulturi, javnih potreba u odgoju i obrazovanju, javnih potreba i usluga u zdravstvu, Hrvatskog Crvenog križa, financiranje političkih stranaka, poduzetničkog inkubatora,</w:t>
      </w:r>
      <w:r w:rsidR="00F215E7">
        <w:t xml:space="preserve"> sufinanciranje rada Komunalca d.o.o.,</w:t>
      </w:r>
      <w:r w:rsidR="001C0D66">
        <w:t xml:space="preserve"> medicinske službe, Dobrovoljnog vatrogasnog društva, HGSS, LAG, FLAG, radio VAL i M i ostalih projekata i aktivnosti</w:t>
      </w:r>
      <w:r w:rsidR="00A0292C">
        <w:t xml:space="preserve"> (u novcu 572.366,41 eura) te dodjela općinskih javnih i drugih priznanja (u naravi 2.932,51 eura).</w:t>
      </w:r>
    </w:p>
    <w:p w:rsidR="00351C61" w:rsidRDefault="00351C61" w:rsidP="000C1E51"/>
    <w:p w:rsidR="00634D56" w:rsidRDefault="00351C61" w:rsidP="000C1E51">
      <w:r>
        <w:t xml:space="preserve">- </w:t>
      </w:r>
      <w:r w:rsidRPr="00FF4AD6">
        <w:rPr>
          <w:u w:val="single"/>
        </w:rPr>
        <w:t>382 Kapitalne donacije</w:t>
      </w:r>
      <w:r>
        <w:t xml:space="preserve"> </w:t>
      </w:r>
      <w:r w:rsidR="0015790A">
        <w:t>su</w:t>
      </w:r>
      <w:r w:rsidR="00365501">
        <w:t xml:space="preserve"> u 2025.</w:t>
      </w:r>
      <w:r w:rsidR="0015790A">
        <w:t xml:space="preserve"> izvršene u iznosu od 10.000,00 eura</w:t>
      </w:r>
      <w:r w:rsidR="00365501" w:rsidRPr="00365501">
        <w:t xml:space="preserve"> </w:t>
      </w:r>
      <w:r w:rsidR="00365501">
        <w:t>(sufinancirana je sanacija krova crkve Gospe od zdravlja na Badu, Župnom uredu Sv. Josipa u Veloj Luci)</w:t>
      </w:r>
      <w:r w:rsidR="0015790A">
        <w:t xml:space="preserve">, a u </w:t>
      </w:r>
      <w:r w:rsidR="00365501">
        <w:t>prethodnoj godini su iznosile 1.300,00 eura</w:t>
      </w:r>
      <w:r w:rsidR="00365501" w:rsidRPr="00365501">
        <w:t xml:space="preserve"> </w:t>
      </w:r>
      <w:r w:rsidR="00365501">
        <w:t>(financiranje aktivnosti ublažavanja učinaka klimatskih promjena Pokretu otoka).</w:t>
      </w:r>
    </w:p>
    <w:p w:rsidR="00A0292C" w:rsidRDefault="00A0292C" w:rsidP="000C1E51"/>
    <w:p w:rsidR="000C1E51" w:rsidRPr="000C1E51" w:rsidRDefault="00351C61" w:rsidP="000C1E51">
      <w:r>
        <w:t xml:space="preserve">- </w:t>
      </w:r>
      <w:r w:rsidRPr="00FF4AD6">
        <w:rPr>
          <w:u w:val="single"/>
        </w:rPr>
        <w:t>386 Kapitalne pomoći</w:t>
      </w:r>
      <w:r w:rsidR="000C1E51" w:rsidRPr="000C1E51">
        <w:t xml:space="preserve"> </w:t>
      </w:r>
      <w:r w:rsidR="00365501">
        <w:t>su izvršene u iznosu od 201.222,93 eura</w:t>
      </w:r>
      <w:r w:rsidR="000C1E51" w:rsidRPr="000C1E51">
        <w:t xml:space="preserve"> i </w:t>
      </w:r>
      <w:r w:rsidR="00365501">
        <w:t>veće</w:t>
      </w:r>
      <w:r w:rsidR="000C1E51" w:rsidRPr="000C1E51">
        <w:t xml:space="preserve"> su za </w:t>
      </w:r>
      <w:r w:rsidR="00913748">
        <w:t>1,35</w:t>
      </w:r>
      <w:r w:rsidR="000C1E51" w:rsidRPr="000C1E51">
        <w:t>%</w:t>
      </w:r>
      <w:r>
        <w:t xml:space="preserve"> u odnosu na isto razdoblje prethodne godine</w:t>
      </w:r>
      <w:r w:rsidR="00634D56" w:rsidRPr="00634D56">
        <w:t xml:space="preserve"> </w:t>
      </w:r>
      <w:r w:rsidR="00634D56">
        <w:t>kada su</w:t>
      </w:r>
      <w:r w:rsidR="00634D56" w:rsidRPr="00173EDE">
        <w:t xml:space="preserve"> iznosile </w:t>
      </w:r>
      <w:r w:rsidR="00365501">
        <w:t>198.538,50</w:t>
      </w:r>
      <w:r w:rsidR="00913748" w:rsidRPr="000C1E51">
        <w:t xml:space="preserve"> </w:t>
      </w:r>
      <w:r w:rsidR="00634D56" w:rsidRPr="00173EDE">
        <w:t>eura.</w:t>
      </w:r>
      <w:r w:rsidR="00634D56">
        <w:t xml:space="preserve"> O</w:t>
      </w:r>
      <w:r w:rsidR="000C1E51" w:rsidRPr="000C1E51">
        <w:t>dnose se na kapitalne pomoći Općine Komunalcu d.o.o.</w:t>
      </w:r>
      <w:r>
        <w:t>,</w:t>
      </w:r>
      <w:r w:rsidR="000C1E51" w:rsidRPr="000C1E51">
        <w:t xml:space="preserve"> Komunalnim djelatnostima d.o.o. Vela Luka i Vodovod-u d.o.o. iz Blata za:</w:t>
      </w:r>
    </w:p>
    <w:p w:rsidR="00974383" w:rsidRDefault="00974383" w:rsidP="00634D56"/>
    <w:p w:rsidR="00634D56" w:rsidRDefault="00634D56" w:rsidP="00634D56">
      <w:r w:rsidRPr="00173EDE">
        <w:t xml:space="preserve">- mjesnu mrežu kanalizacije </w:t>
      </w:r>
      <w:r w:rsidR="00365501">
        <w:t>37.374,51</w:t>
      </w:r>
      <w:r w:rsidR="00913748">
        <w:t xml:space="preserve"> </w:t>
      </w:r>
      <w:r w:rsidRPr="00173EDE">
        <w:t>eura,</w:t>
      </w:r>
    </w:p>
    <w:p w:rsidR="00365501" w:rsidRDefault="00365501" w:rsidP="00365501">
      <w:r>
        <w:t>- mjesnu mrežu kanalizacije - održavanje sustava 18.700,95 eura,</w:t>
      </w:r>
    </w:p>
    <w:p w:rsidR="00974383" w:rsidRPr="00B83764" w:rsidRDefault="00974383" w:rsidP="00974383">
      <w:r w:rsidRPr="00B83764">
        <w:t xml:space="preserve">- </w:t>
      </w:r>
      <w:r>
        <w:t>sustav navodnjavanja i uređenja javnih zelenih površina 12.210,70 eura,</w:t>
      </w:r>
    </w:p>
    <w:p w:rsidR="00913748" w:rsidRDefault="00913748" w:rsidP="00913748">
      <w:r>
        <w:t xml:space="preserve">- </w:t>
      </w:r>
      <w:r w:rsidR="00974383">
        <w:t xml:space="preserve">sufinanc. </w:t>
      </w:r>
      <w:r>
        <w:t>uređenj</w:t>
      </w:r>
      <w:r w:rsidR="00974383">
        <w:t>a</w:t>
      </w:r>
      <w:r>
        <w:t xml:space="preserve"> groblja 520,37 eura,</w:t>
      </w:r>
    </w:p>
    <w:p w:rsidR="00974383" w:rsidRDefault="00974383" w:rsidP="00913748">
      <w:r>
        <w:t>- sufinanc. održavanja groblja 2.967,79 eura,</w:t>
      </w:r>
    </w:p>
    <w:p w:rsidR="00974383" w:rsidRDefault="00974383" w:rsidP="00974383">
      <w:r w:rsidRPr="00B83764">
        <w:t xml:space="preserve">- sufinanc. komunalne opreme za sakupljanje otpada </w:t>
      </w:r>
      <w:r>
        <w:t>16.685,00 eura</w:t>
      </w:r>
      <w:r w:rsidRPr="00B83764">
        <w:t>,</w:t>
      </w:r>
    </w:p>
    <w:p w:rsidR="00974383" w:rsidRDefault="00974383" w:rsidP="00974383">
      <w:r>
        <w:t>- sufinanc. nabave urbane opreme 7.104,00 eura,</w:t>
      </w:r>
    </w:p>
    <w:p w:rsidR="00634D56" w:rsidRDefault="00634D56" w:rsidP="00634D56">
      <w:r w:rsidRPr="00173EDE">
        <w:t xml:space="preserve">- održavanje odlagališta komunalnog otpada „Sitnica“ </w:t>
      </w:r>
      <w:r w:rsidR="00365501">
        <w:t>20.934,60</w:t>
      </w:r>
      <w:r w:rsidRPr="00173EDE">
        <w:t xml:space="preserve"> eura,</w:t>
      </w:r>
    </w:p>
    <w:p w:rsidR="00634D56" w:rsidRPr="005E33A9" w:rsidRDefault="00634D56" w:rsidP="00634D56">
      <w:r w:rsidRPr="005E33A9">
        <w:t xml:space="preserve">- sufinanciranje troškova zbrinjavanja glomaznog i građevinskog otpada u iznosu od </w:t>
      </w:r>
      <w:r w:rsidR="00365501">
        <w:t>37.676,00</w:t>
      </w:r>
      <w:r w:rsidRPr="005E33A9">
        <w:t xml:space="preserve"> </w:t>
      </w:r>
      <w:r>
        <w:t>eura</w:t>
      </w:r>
      <w:r w:rsidRPr="005E33A9">
        <w:t>,</w:t>
      </w:r>
    </w:p>
    <w:p w:rsidR="00634D56" w:rsidRPr="00173EDE" w:rsidRDefault="00634D56" w:rsidP="00634D56">
      <w:r w:rsidRPr="00173EDE">
        <w:t>- sufinanc</w:t>
      </w:r>
      <w:r w:rsidR="00913748">
        <w:t>iranje</w:t>
      </w:r>
      <w:r w:rsidRPr="00173EDE">
        <w:t xml:space="preserve"> rekonstrukcije javne rasvjete </w:t>
      </w:r>
      <w:r w:rsidR="00913748">
        <w:t xml:space="preserve">37.289,01 </w:t>
      </w:r>
      <w:r w:rsidRPr="00173EDE">
        <w:t>eura</w:t>
      </w:r>
      <w:r w:rsidR="00C17050">
        <w:t xml:space="preserve"> i za</w:t>
      </w:r>
    </w:p>
    <w:p w:rsidR="00634D56" w:rsidRPr="00173EDE" w:rsidRDefault="00634D56" w:rsidP="00634D56">
      <w:r w:rsidRPr="00173EDE">
        <w:t xml:space="preserve">- </w:t>
      </w:r>
      <w:r w:rsidR="00C17050">
        <w:t>p</w:t>
      </w:r>
      <w:r w:rsidR="00913748">
        <w:t>roširenje vodovoda</w:t>
      </w:r>
      <w:r w:rsidR="00C17050">
        <w:t xml:space="preserve"> </w:t>
      </w:r>
      <w:r w:rsidR="00913748">
        <w:t>u Ulici 42.</w:t>
      </w:r>
      <w:r w:rsidR="00C17050">
        <w:t xml:space="preserve"> izvršeno je</w:t>
      </w:r>
      <w:r w:rsidRPr="00173EDE">
        <w:t xml:space="preserve"> </w:t>
      </w:r>
      <w:r w:rsidR="00913748">
        <w:t>9.760,00</w:t>
      </w:r>
      <w:r w:rsidRPr="00173EDE">
        <w:t xml:space="preserve"> eura.</w:t>
      </w:r>
    </w:p>
    <w:p w:rsidR="00E53245" w:rsidRDefault="000C1E51" w:rsidP="001C0D66">
      <w:r w:rsidRPr="000C1E51">
        <w:rPr>
          <w:b/>
        </w:rPr>
        <w:lastRenderedPageBreak/>
        <w:t xml:space="preserve">I.B.2. </w:t>
      </w:r>
      <w:r w:rsidR="00974DA9" w:rsidRPr="000C1E51">
        <w:rPr>
          <w:b/>
        </w:rPr>
        <w:t>R</w:t>
      </w:r>
      <w:r w:rsidR="00FA1A11">
        <w:rPr>
          <w:b/>
        </w:rPr>
        <w:t>ASHODI</w:t>
      </w:r>
      <w:r w:rsidR="00974DA9" w:rsidRPr="000C1E51">
        <w:rPr>
          <w:b/>
        </w:rPr>
        <w:t xml:space="preserve"> za nabavu nefinancijske imovine </w:t>
      </w:r>
      <w:r w:rsidRPr="000C1E51">
        <w:rPr>
          <w:b/>
        </w:rPr>
        <w:t xml:space="preserve">(razred </w:t>
      </w:r>
      <w:r w:rsidR="00974DA9" w:rsidRPr="000C1E51">
        <w:rPr>
          <w:b/>
        </w:rPr>
        <w:t>4</w:t>
      </w:r>
      <w:r w:rsidRPr="000C1E51">
        <w:rPr>
          <w:b/>
        </w:rPr>
        <w:t>)</w:t>
      </w:r>
      <w:r w:rsidR="00974DA9" w:rsidRPr="00974DA9">
        <w:t xml:space="preserve"> </w:t>
      </w:r>
    </w:p>
    <w:p w:rsidR="00C17050" w:rsidRPr="00194692" w:rsidRDefault="00C17050" w:rsidP="00C17050">
      <w:r w:rsidRPr="00194692">
        <w:t>Rashodi za nabavu nefinancijske imovine u 202</w:t>
      </w:r>
      <w:r>
        <w:t>5</w:t>
      </w:r>
      <w:r w:rsidRPr="00194692">
        <w:t xml:space="preserve">. godine izvršeni su u iznosu od </w:t>
      </w:r>
      <w:r w:rsidR="00267749">
        <w:t>1.699.580,30</w:t>
      </w:r>
      <w:r>
        <w:t xml:space="preserve"> </w:t>
      </w:r>
      <w:r w:rsidRPr="00194692">
        <w:t>eura</w:t>
      </w:r>
      <w:r w:rsidR="00E53245">
        <w:t xml:space="preserve"> (Općina </w:t>
      </w:r>
      <w:r w:rsidR="00A55718">
        <w:t>1.328.498,57</w:t>
      </w:r>
      <w:r w:rsidR="00E53245">
        <w:t xml:space="preserve"> eura + proračunski korisnici </w:t>
      </w:r>
      <w:r w:rsidR="00A55718">
        <w:t xml:space="preserve">371.081,73 </w:t>
      </w:r>
      <w:r w:rsidR="00E53245">
        <w:t>eura)</w:t>
      </w:r>
      <w:r w:rsidRPr="00194692">
        <w:t xml:space="preserve">, što predstavlja </w:t>
      </w:r>
      <w:r w:rsidR="00A55718">
        <w:t>92,07</w:t>
      </w:r>
      <w:r w:rsidRPr="00194692">
        <w:t xml:space="preserve">% planiranih sredstava te su u usporedbi s istim razdobljem prethodne godine </w:t>
      </w:r>
      <w:r>
        <w:t>povećani</w:t>
      </w:r>
      <w:r w:rsidRPr="00194692">
        <w:t xml:space="preserve"> za </w:t>
      </w:r>
      <w:r w:rsidR="00A55718">
        <w:t>37,41</w:t>
      </w:r>
      <w:r w:rsidRPr="00194692">
        <w:t xml:space="preserve">% odnosno </w:t>
      </w:r>
      <w:r w:rsidR="00A55718">
        <w:t>462.745,84</w:t>
      </w:r>
      <w:r w:rsidRPr="00194692">
        <w:t xml:space="preserve"> eura.</w:t>
      </w:r>
    </w:p>
    <w:p w:rsidR="00BE3250" w:rsidRDefault="00BE3250" w:rsidP="001C0D66">
      <w:pPr>
        <w:rPr>
          <w:b/>
          <w:u w:val="single"/>
        </w:rPr>
      </w:pPr>
    </w:p>
    <w:p w:rsidR="00050127" w:rsidRDefault="00050127" w:rsidP="001C0D66">
      <w:r w:rsidRPr="00050127">
        <w:rPr>
          <w:b/>
          <w:u w:val="single"/>
        </w:rPr>
        <w:t>1. Rashodi za nabavu neproizvedene dugotrajne imovine (41)</w:t>
      </w:r>
      <w:r>
        <w:t xml:space="preserve">- </w:t>
      </w:r>
      <w:r w:rsidR="00BE3250">
        <w:t>su rashodi Općine koji</w:t>
      </w:r>
      <w:r w:rsidR="00C856F0">
        <w:t>h</w:t>
      </w:r>
      <w:r w:rsidR="00BE3250">
        <w:t xml:space="preserve"> u </w:t>
      </w:r>
      <w:r w:rsidR="002E6961">
        <w:t>2025. nije bilo</w:t>
      </w:r>
      <w:r w:rsidR="00393326">
        <w:t xml:space="preserve">, </w:t>
      </w:r>
      <w:r w:rsidR="00E53245">
        <w:t>dok su</w:t>
      </w:r>
      <w:r w:rsidR="00BE3250">
        <w:t xml:space="preserve"> u promatranom razdoblju</w:t>
      </w:r>
      <w:r w:rsidR="00E53245">
        <w:t xml:space="preserve"> prethodne godine</w:t>
      </w:r>
      <w:r w:rsidR="00393326">
        <w:t xml:space="preserve"> iznosili </w:t>
      </w:r>
      <w:r w:rsidR="00A55718">
        <w:t>185.208,32</w:t>
      </w:r>
      <w:r w:rsidR="00393326">
        <w:t xml:space="preserve"> eura</w:t>
      </w:r>
      <w:r w:rsidR="00BE3250">
        <w:t>. Odnos</w:t>
      </w:r>
      <w:r w:rsidR="00393326">
        <w:t>ili su</w:t>
      </w:r>
      <w:r w:rsidR="00BE3250">
        <w:t xml:space="preserve"> se na kupovinu zemljišta za izgradnju novog Vatrogasnog doma</w:t>
      </w:r>
      <w:r w:rsidR="00A55718">
        <w:t xml:space="preserve"> u iznosu od 142.508,32 eura i na kupovinu zemljišta u Poduzetničkoj zoni u iznosu od 42.700,00 eura.</w:t>
      </w:r>
    </w:p>
    <w:p w:rsidR="004354BA" w:rsidRDefault="004354BA" w:rsidP="00BE3250">
      <w:pPr>
        <w:rPr>
          <w:b/>
          <w:u w:val="single"/>
        </w:rPr>
      </w:pPr>
    </w:p>
    <w:p w:rsidR="00BE3250" w:rsidRDefault="00050127" w:rsidP="00BE3250">
      <w:r w:rsidRPr="00050127">
        <w:rPr>
          <w:b/>
          <w:u w:val="single"/>
        </w:rPr>
        <w:t xml:space="preserve">2. </w:t>
      </w:r>
      <w:r w:rsidR="001C0D66" w:rsidRPr="00050127">
        <w:rPr>
          <w:b/>
          <w:u w:val="single"/>
        </w:rPr>
        <w:t>Rashodi za nabavu proizvedene dugotrajne imovine</w:t>
      </w:r>
      <w:r w:rsidRPr="00050127">
        <w:rPr>
          <w:b/>
          <w:u w:val="single"/>
        </w:rPr>
        <w:t xml:space="preserve"> (42)</w:t>
      </w:r>
      <w:r>
        <w:rPr>
          <w:b/>
          <w:u w:val="single"/>
        </w:rPr>
        <w:t xml:space="preserve"> </w:t>
      </w:r>
      <w:r w:rsidR="000E0F6B">
        <w:t>su izvršeni u iznosu od</w:t>
      </w:r>
      <w:r w:rsidR="00BE3250">
        <w:t xml:space="preserve"> </w:t>
      </w:r>
      <w:r w:rsidR="00A55718">
        <w:t>1.517.822,07</w:t>
      </w:r>
      <w:r w:rsidR="00BE3250">
        <w:t xml:space="preserve"> eura (Općina </w:t>
      </w:r>
      <w:r w:rsidR="00A55718">
        <w:t>1.328.498,57</w:t>
      </w:r>
      <w:r w:rsidR="00BE3250">
        <w:t xml:space="preserve"> eura + PK </w:t>
      </w:r>
      <w:r w:rsidR="00A55718">
        <w:t>189.323,50</w:t>
      </w:r>
      <w:r w:rsidR="00BE3250">
        <w:t xml:space="preserve"> eura) dok su prethodne godine iznosili </w:t>
      </w:r>
      <w:r w:rsidR="0008576E">
        <w:t>921.542,30</w:t>
      </w:r>
      <w:r w:rsidR="00BE3250">
        <w:t xml:space="preserve"> eura </w:t>
      </w:r>
      <w:r w:rsidR="00034929">
        <w:t xml:space="preserve">(Općina </w:t>
      </w:r>
      <w:r w:rsidR="0008576E">
        <w:t>909.010,46</w:t>
      </w:r>
      <w:r w:rsidR="00034929">
        <w:t xml:space="preserve"> eura + PK </w:t>
      </w:r>
      <w:r w:rsidR="0008576E">
        <w:t>12.531,84</w:t>
      </w:r>
      <w:r w:rsidR="00034929">
        <w:t xml:space="preserve"> eura)</w:t>
      </w:r>
      <w:r w:rsidR="00BE3250">
        <w:t xml:space="preserve">, što znači da su isti povećani za </w:t>
      </w:r>
      <w:r w:rsidR="0008576E">
        <w:t>64,70</w:t>
      </w:r>
      <w:r w:rsidR="00BE3250">
        <w:t xml:space="preserve">%. </w:t>
      </w:r>
      <w:r w:rsidR="002F2003">
        <w:t>Odnose se na:</w:t>
      </w:r>
    </w:p>
    <w:p w:rsidR="00320095" w:rsidRDefault="00320095" w:rsidP="001C0D66"/>
    <w:p w:rsidR="006E6746" w:rsidRDefault="00320095" w:rsidP="00BE3250">
      <w:r>
        <w:t xml:space="preserve">a) </w:t>
      </w:r>
      <w:r w:rsidR="00BE3250">
        <w:t xml:space="preserve"> </w:t>
      </w:r>
      <w:r w:rsidR="00BE3250" w:rsidRPr="002F2003">
        <w:rPr>
          <w:u w:val="single"/>
        </w:rPr>
        <w:t>građevinske objekte (421)</w:t>
      </w:r>
      <w:r w:rsidR="00BE3250">
        <w:t xml:space="preserve"> - </w:t>
      </w:r>
      <w:r w:rsidR="002F2003">
        <w:t xml:space="preserve">To su rashodi Općine, </w:t>
      </w:r>
      <w:r w:rsidR="00F813D4">
        <w:t>u</w:t>
      </w:r>
      <w:r w:rsidR="00BE3250">
        <w:t xml:space="preserve">trošeno </w:t>
      </w:r>
      <w:r w:rsidR="00F813D4">
        <w:t>je</w:t>
      </w:r>
      <w:r w:rsidR="00112F1F">
        <w:t xml:space="preserve"> 1.269.165,60 </w:t>
      </w:r>
      <w:r w:rsidR="00BE3250">
        <w:t>eura</w:t>
      </w:r>
      <w:r w:rsidR="002F2003">
        <w:t>, kako slijedi:</w:t>
      </w:r>
      <w:r w:rsidR="00BE3250">
        <w:t xml:space="preserve"> </w:t>
      </w:r>
    </w:p>
    <w:p w:rsidR="003A35B2" w:rsidRDefault="003A35B2" w:rsidP="00BE3250"/>
    <w:p w:rsidR="002D44C5" w:rsidRDefault="006E6746" w:rsidP="00BE3250">
      <w:r>
        <w:t>-</w:t>
      </w:r>
      <w:r w:rsidR="00112F1F">
        <w:t xml:space="preserve"> konto 4212 Poslovni objekti - utrošen je iznos od 887.333,87 eura (prethodne godine nije bilo rashoda po ovoj osnovi)</w:t>
      </w:r>
      <w:r>
        <w:t xml:space="preserve"> i to na</w:t>
      </w:r>
      <w:r w:rsidR="002D44C5">
        <w:t>:</w:t>
      </w:r>
    </w:p>
    <w:p w:rsidR="002D44C5" w:rsidRDefault="006E6746" w:rsidP="0076533D">
      <w:pPr>
        <w:pStyle w:val="ListParagraph"/>
        <w:numPr>
          <w:ilvl w:val="0"/>
          <w:numId w:val="4"/>
        </w:numPr>
      </w:pPr>
      <w:r>
        <w:t xml:space="preserve">uređenje pomoćnog nogometnog terena na Močnom lazu 131.000,00 eura, </w:t>
      </w:r>
    </w:p>
    <w:p w:rsidR="00B506BB" w:rsidRDefault="00112F1F" w:rsidP="0076533D">
      <w:pPr>
        <w:pStyle w:val="ListParagraph"/>
        <w:numPr>
          <w:ilvl w:val="0"/>
          <w:numId w:val="4"/>
        </w:numPr>
      </w:pPr>
      <w:r>
        <w:t>uređenje</w:t>
      </w:r>
      <w:r w:rsidR="006E6746">
        <w:t xml:space="preserve"> športsk</w:t>
      </w:r>
      <w:r>
        <w:t>e</w:t>
      </w:r>
      <w:r w:rsidR="006E6746">
        <w:t xml:space="preserve"> dvoran</w:t>
      </w:r>
      <w:r>
        <w:t>e Močni laz</w:t>
      </w:r>
      <w:r w:rsidR="006E6746">
        <w:t xml:space="preserve"> i nje</w:t>
      </w:r>
      <w:r w:rsidR="00B506BB">
        <w:t>n</w:t>
      </w:r>
      <w:r>
        <w:t>og</w:t>
      </w:r>
      <w:r w:rsidR="006E6746">
        <w:t xml:space="preserve"> okoliš</w:t>
      </w:r>
      <w:r>
        <w:t>a</w:t>
      </w:r>
      <w:r w:rsidR="006E6746">
        <w:t xml:space="preserve"> 49.020,50 eura</w:t>
      </w:r>
      <w:r w:rsidR="00B506BB">
        <w:t>,</w:t>
      </w:r>
    </w:p>
    <w:p w:rsidR="002D44C5" w:rsidRDefault="00B506BB" w:rsidP="0076533D">
      <w:pPr>
        <w:pStyle w:val="ListParagraph"/>
        <w:numPr>
          <w:ilvl w:val="0"/>
          <w:numId w:val="4"/>
        </w:numPr>
      </w:pPr>
      <w:r>
        <w:t xml:space="preserve">kupnju dijela upravne zgrade bivše TEU d.d. (Elektronika) </w:t>
      </w:r>
      <w:r w:rsidR="006E6746">
        <w:t xml:space="preserve"> </w:t>
      </w:r>
      <w:r>
        <w:t>240.000,00 eura,</w:t>
      </w:r>
    </w:p>
    <w:p w:rsidR="00B506BB" w:rsidRDefault="00B506BB" w:rsidP="0076533D">
      <w:pPr>
        <w:pStyle w:val="ListParagraph"/>
        <w:numPr>
          <w:ilvl w:val="0"/>
          <w:numId w:val="4"/>
        </w:numPr>
      </w:pPr>
      <w:r>
        <w:t>r</w:t>
      </w:r>
      <w:r w:rsidR="006E6746">
        <w:t>ekonstrukcij</w:t>
      </w:r>
      <w:r>
        <w:t>u i energetsku obnovu</w:t>
      </w:r>
      <w:r w:rsidR="006E6746">
        <w:t xml:space="preserve"> zgrade </w:t>
      </w:r>
      <w:r w:rsidR="000E0F6B">
        <w:t xml:space="preserve">Dječjeg </w:t>
      </w:r>
      <w:r w:rsidR="006E6746">
        <w:t>vrtića</w:t>
      </w:r>
      <w:r>
        <w:t xml:space="preserve"> „Radost“</w:t>
      </w:r>
      <w:r w:rsidR="006E6746">
        <w:t xml:space="preserve"> </w:t>
      </w:r>
      <w:r>
        <w:t>398.155,46 eura,</w:t>
      </w:r>
    </w:p>
    <w:p w:rsidR="00B506BB" w:rsidRDefault="00B506BB" w:rsidP="0076533D">
      <w:pPr>
        <w:pStyle w:val="ListParagraph"/>
        <w:numPr>
          <w:ilvl w:val="0"/>
          <w:numId w:val="4"/>
        </w:numPr>
      </w:pPr>
      <w:r>
        <w:t>energetsku obnovu upravno-poslovne zgrade Općine 14.331,46 eura,</w:t>
      </w:r>
    </w:p>
    <w:p w:rsidR="00B506BB" w:rsidRDefault="003A35B2" w:rsidP="0076533D">
      <w:pPr>
        <w:pStyle w:val="ListParagraph"/>
        <w:numPr>
          <w:ilvl w:val="0"/>
          <w:numId w:val="4"/>
        </w:numPr>
      </w:pPr>
      <w:r>
        <w:t>u</w:t>
      </w:r>
      <w:r w:rsidR="00B506BB">
        <w:t>ređenje prostora u zgradi Općine za potrebe Poduzetničkog inkubatora 52.215,25 eura,</w:t>
      </w:r>
    </w:p>
    <w:p w:rsidR="002D44C5" w:rsidRDefault="00B506BB" w:rsidP="0076533D">
      <w:pPr>
        <w:pStyle w:val="ListParagraph"/>
        <w:numPr>
          <w:ilvl w:val="0"/>
          <w:numId w:val="4"/>
        </w:numPr>
      </w:pPr>
      <w:r>
        <w:t>uslugu zamjene krova na poslovnici PBZ-a 2.611,20 eura</w:t>
      </w:r>
      <w:r w:rsidR="006E6746">
        <w:t>.</w:t>
      </w:r>
      <w:r w:rsidR="000E0F6B">
        <w:t xml:space="preserve"> </w:t>
      </w:r>
    </w:p>
    <w:p w:rsidR="00B506BB" w:rsidRDefault="00B506BB" w:rsidP="00BE3250"/>
    <w:p w:rsidR="003A35B2" w:rsidRDefault="006E6746" w:rsidP="00BE3250">
      <w:r>
        <w:t xml:space="preserve">- </w:t>
      </w:r>
      <w:r w:rsidR="00BE3250">
        <w:t>konto 4213</w:t>
      </w:r>
      <w:r w:rsidR="003A35B2" w:rsidRPr="003A35B2">
        <w:t xml:space="preserve"> </w:t>
      </w:r>
      <w:r w:rsidR="003A35B2">
        <w:t>Ceste, željeznice i ostali prometni objekti</w:t>
      </w:r>
      <w:r w:rsidR="00BE3250">
        <w:t xml:space="preserve"> -</w:t>
      </w:r>
      <w:r w:rsidR="002E6961">
        <w:t xml:space="preserve"> </w:t>
      </w:r>
      <w:r w:rsidR="003A35B2">
        <w:t>utrošen je iznos od 137.978,83 eura</w:t>
      </w:r>
      <w:r w:rsidR="009C77F7">
        <w:t xml:space="preserve"> (prethodne godine 153.986,90 eura)</w:t>
      </w:r>
      <w:r w:rsidR="003A35B2">
        <w:t xml:space="preserve"> i to</w:t>
      </w:r>
      <w:r w:rsidR="005761EF">
        <w:t xml:space="preserve"> na</w:t>
      </w:r>
      <w:r w:rsidR="003A35B2">
        <w:t>:</w:t>
      </w:r>
    </w:p>
    <w:p w:rsidR="006E6746" w:rsidRDefault="003A35B2" w:rsidP="0076533D">
      <w:pPr>
        <w:pStyle w:val="ListParagraph"/>
        <w:numPr>
          <w:ilvl w:val="0"/>
          <w:numId w:val="2"/>
        </w:numPr>
      </w:pPr>
      <w:r>
        <w:t>uređenje (</w:t>
      </w:r>
      <w:r w:rsidR="00BE3250">
        <w:t>asfaltiranje</w:t>
      </w:r>
      <w:r>
        <w:t>)</w:t>
      </w:r>
      <w:r w:rsidR="00BE3250">
        <w:t xml:space="preserve"> nerazvrstanih cesta</w:t>
      </w:r>
      <w:r w:rsidR="005761EF">
        <w:t xml:space="preserve"> je potrošeno</w:t>
      </w:r>
      <w:r w:rsidR="00BE3250">
        <w:t xml:space="preserve"> </w:t>
      </w:r>
      <w:r>
        <w:t xml:space="preserve">126.620,79 eura </w:t>
      </w:r>
      <w:r w:rsidR="00BE3250">
        <w:t xml:space="preserve">i </w:t>
      </w:r>
    </w:p>
    <w:p w:rsidR="003A35B2" w:rsidRDefault="003A35B2" w:rsidP="0076533D">
      <w:pPr>
        <w:pStyle w:val="ListParagraph"/>
        <w:numPr>
          <w:ilvl w:val="0"/>
          <w:numId w:val="2"/>
        </w:numPr>
      </w:pPr>
      <w:r>
        <w:t>uknjižbu komunalne infrastrukture 11.358,04 eura.</w:t>
      </w:r>
    </w:p>
    <w:p w:rsidR="002E6961" w:rsidRDefault="002E6961" w:rsidP="003A35B2"/>
    <w:p w:rsidR="003A35B2" w:rsidRDefault="006E6746" w:rsidP="003A35B2">
      <w:r>
        <w:t xml:space="preserve">- </w:t>
      </w:r>
      <w:r w:rsidR="00BE3250">
        <w:t>konto</w:t>
      </w:r>
      <w:r>
        <w:t xml:space="preserve"> </w:t>
      </w:r>
      <w:r w:rsidR="00BE3250">
        <w:t xml:space="preserve">4214 </w:t>
      </w:r>
      <w:r w:rsidR="003A35B2">
        <w:t>Ostali građevinski objekti - na ovom kontu su proknjiženi rashodi u ukupnom iznosu od 243.852,90 eura (prethodne godine 629.145,41 eura), a odnose se na:</w:t>
      </w:r>
    </w:p>
    <w:p w:rsidR="003A35B2" w:rsidRDefault="003A35B2" w:rsidP="0076533D">
      <w:pPr>
        <w:pStyle w:val="ListParagraph"/>
        <w:numPr>
          <w:ilvl w:val="0"/>
          <w:numId w:val="3"/>
        </w:numPr>
      </w:pPr>
      <w:r>
        <w:t>sufinanciranje izgradnje trafostanice Prihonja u iznosu od 62.663,54 eura,</w:t>
      </w:r>
    </w:p>
    <w:p w:rsidR="003A35B2" w:rsidRDefault="003A35B2" w:rsidP="0076533D">
      <w:pPr>
        <w:pStyle w:val="ListParagraph"/>
        <w:numPr>
          <w:ilvl w:val="0"/>
          <w:numId w:val="3"/>
        </w:numPr>
      </w:pPr>
      <w:r>
        <w:t>uređenje šetnica u iznosu od 173.439,36 eura</w:t>
      </w:r>
    </w:p>
    <w:p w:rsidR="003A35B2" w:rsidRDefault="003A35B2" w:rsidP="0076533D">
      <w:pPr>
        <w:pStyle w:val="ListParagraph"/>
        <w:numPr>
          <w:ilvl w:val="0"/>
          <w:numId w:val="3"/>
        </w:numPr>
      </w:pPr>
      <w:r>
        <w:t xml:space="preserve">procjena nestabilnih blokova u Veloj spilji 7.750,00 eura.  </w:t>
      </w:r>
    </w:p>
    <w:p w:rsidR="004354BA" w:rsidRDefault="004354BA" w:rsidP="00BE3250"/>
    <w:p w:rsidR="00613D45" w:rsidRDefault="00320095" w:rsidP="00096078">
      <w:r>
        <w:t xml:space="preserve">b) </w:t>
      </w:r>
      <w:r w:rsidRPr="002F2003">
        <w:rPr>
          <w:u w:val="single"/>
        </w:rPr>
        <w:t>p</w:t>
      </w:r>
      <w:r w:rsidR="00BE3250" w:rsidRPr="002F2003">
        <w:rPr>
          <w:u w:val="single"/>
        </w:rPr>
        <w:t>ostrojenja i opremu (422)</w:t>
      </w:r>
      <w:r w:rsidR="00BE3250">
        <w:t xml:space="preserve"> potrošeno</w:t>
      </w:r>
      <w:r>
        <w:t xml:space="preserve"> je</w:t>
      </w:r>
      <w:r w:rsidR="00BE3250">
        <w:t xml:space="preserve"> </w:t>
      </w:r>
      <w:r w:rsidR="003002F9">
        <w:t>199.828,75 eura od čega se</w:t>
      </w:r>
      <w:r w:rsidR="00613D45">
        <w:t xml:space="preserve"> odnosi na: </w:t>
      </w:r>
    </w:p>
    <w:p w:rsidR="00613D45" w:rsidRDefault="00613D45" w:rsidP="00096078">
      <w:r>
        <w:t xml:space="preserve"> - Općinu</w:t>
      </w:r>
      <w:r w:rsidR="003002F9">
        <w:t xml:space="preserve"> </w:t>
      </w:r>
      <w:r w:rsidR="00096078">
        <w:t>16.496,78 eura (računala i računalna oprema, server, uredski namještaj i urbana oprema)</w:t>
      </w:r>
    </w:p>
    <w:p w:rsidR="00613D45" w:rsidRDefault="003002F9" w:rsidP="00096078">
      <w:r>
        <w:t xml:space="preserve"> </w:t>
      </w:r>
      <w:r w:rsidR="00613D45">
        <w:t xml:space="preserve">- Knjižnicu 1.144,90 eura (za nabavu rasvjetnih tijela) i </w:t>
      </w:r>
    </w:p>
    <w:p w:rsidR="002F2003" w:rsidRDefault="00613D45" w:rsidP="002F2003">
      <w:r>
        <w:t>- CZK 182.187,07 eura, od čega 2.036,01 eura je potrošeno na uredsku opremu i namještaj, a 180.151,06</w:t>
      </w:r>
      <w:r w:rsidR="002F2003">
        <w:t xml:space="preserve"> eura</w:t>
      </w:r>
      <w:r w:rsidR="002F2003" w:rsidRPr="002F2003">
        <w:t xml:space="preserve"> </w:t>
      </w:r>
      <w:r w:rsidR="002F2003">
        <w:t>na opremu za Memorijalnu zbirku Olivera Dragojevića</w:t>
      </w:r>
      <w:r w:rsidR="002F2003" w:rsidRPr="002F2003">
        <w:t xml:space="preserve"> </w:t>
      </w:r>
      <w:r w:rsidR="002F2003">
        <w:t>(ovih rashoda u istom razdoblju prethodne godine nije bilo).</w:t>
      </w:r>
    </w:p>
    <w:p w:rsidR="004354BA" w:rsidRDefault="004354BA" w:rsidP="00BE3250"/>
    <w:p w:rsidR="00096078" w:rsidRDefault="00320095" w:rsidP="00096078">
      <w:r>
        <w:t xml:space="preserve">c) </w:t>
      </w:r>
      <w:r w:rsidR="00BE3250" w:rsidRPr="002F2003">
        <w:rPr>
          <w:u w:val="single"/>
        </w:rPr>
        <w:t>prijevozna sredstva (423</w:t>
      </w:r>
      <w:r w:rsidR="00BE3250">
        <w:t>)</w:t>
      </w:r>
      <w:r>
        <w:t xml:space="preserve"> </w:t>
      </w:r>
      <w:r w:rsidR="00096078">
        <w:t xml:space="preserve">- u 2025. nije bilo rashoda po ovoj osnovi, a godinu ranije je na sustav javnih električnih bicikala utrošeno je 58.687,50 eura. </w:t>
      </w:r>
    </w:p>
    <w:p w:rsidR="003002F9" w:rsidRDefault="003002F9" w:rsidP="00096078"/>
    <w:p w:rsidR="003002F9" w:rsidRDefault="003002F9" w:rsidP="003002F9">
      <w:pPr>
        <w:rPr>
          <w:szCs w:val="20"/>
        </w:rPr>
      </w:pPr>
      <w:r>
        <w:t xml:space="preserve">d) </w:t>
      </w:r>
      <w:r w:rsidRPr="002F2003">
        <w:rPr>
          <w:u w:val="single"/>
        </w:rPr>
        <w:t>Knjige, umjetnička djela i ostale izložbene vrijednosti (424</w:t>
      </w:r>
      <w:r>
        <w:t>) - Odnosi se na Knjižnicu. U izvještajnom razdoblju tekuće godine nabavljene su knjige u iznosu od 5.991,53 eura dok je u istom izvještajnom razdoblju prethodne godine na iste utrošeno 11.377,07 eura. Knjižnica u 2025.g. raspolaže manjim iznosom za kupnju knjižne i neknjižne građe od planiranog iz razloga što nije dobila sredstva iz programa Otkupa knjiga Ministarstva kulture i medija RH.</w:t>
      </w:r>
    </w:p>
    <w:p w:rsidR="003002F9" w:rsidRDefault="003002F9" w:rsidP="003002F9"/>
    <w:p w:rsidR="004354BA" w:rsidRDefault="004354BA" w:rsidP="00BE3250"/>
    <w:p w:rsidR="00096078" w:rsidRDefault="003002F9" w:rsidP="00096078">
      <w:r>
        <w:t>e</w:t>
      </w:r>
      <w:r w:rsidR="00320095">
        <w:t xml:space="preserve">) </w:t>
      </w:r>
      <w:r w:rsidR="00320095" w:rsidRPr="002F2003">
        <w:rPr>
          <w:u w:val="single"/>
        </w:rPr>
        <w:t>nematerijalna proizvedena imovina (426)</w:t>
      </w:r>
      <w:r w:rsidR="00320095">
        <w:t xml:space="preserve"> </w:t>
      </w:r>
      <w:r w:rsidR="00D9010B">
        <w:t>-</w:t>
      </w:r>
      <w:r w:rsidR="00096078">
        <w:t xml:space="preserve"> po ovoj osnovi u 2025. godini utrošeno je</w:t>
      </w:r>
      <w:r w:rsidR="00B00FB7">
        <w:t xml:space="preserve"> u Općini</w:t>
      </w:r>
      <w:r w:rsidR="00D9010B">
        <w:t xml:space="preserve"> </w:t>
      </w:r>
      <w:r w:rsidR="00096078">
        <w:t>42.836,19 eura za licence i programe za server, uređenje prometa</w:t>
      </w:r>
      <w:r w:rsidR="00613D45">
        <w:t xml:space="preserve"> (izrada logotipa i oslikavanje vozila za komunalni linijski prijevoz)</w:t>
      </w:r>
      <w:r w:rsidR="00096078">
        <w:t>, projektnu dokumentaciju za uređenje Zadružnog doma</w:t>
      </w:r>
      <w:r w:rsidR="00613D45">
        <w:t>, sufinanciranje Plana upravljanja destinacijom</w:t>
      </w:r>
      <w:r w:rsidR="00096078">
        <w:t xml:space="preserve"> i ostal</w:t>
      </w:r>
      <w:r w:rsidR="00613D45">
        <w:t>o</w:t>
      </w:r>
      <w:r w:rsidR="00096078">
        <w:t xml:space="preserve">, a godinu ranije 63.838,10 eura. </w:t>
      </w:r>
    </w:p>
    <w:p w:rsidR="00D9010B" w:rsidRDefault="00D9010B" w:rsidP="00D9010B"/>
    <w:p w:rsidR="00034929" w:rsidRPr="00034929" w:rsidRDefault="00034929" w:rsidP="00CE1724">
      <w:r>
        <w:rPr>
          <w:b/>
          <w:u w:val="single"/>
        </w:rPr>
        <w:t>3</w:t>
      </w:r>
      <w:r w:rsidRPr="00050127">
        <w:rPr>
          <w:b/>
          <w:u w:val="single"/>
        </w:rPr>
        <w:t xml:space="preserve">. Rashodi za </w:t>
      </w:r>
      <w:r>
        <w:rPr>
          <w:b/>
          <w:u w:val="single"/>
        </w:rPr>
        <w:t>dodatna ulaganja na nefinancijskoj imovini</w:t>
      </w:r>
      <w:r w:rsidRPr="00050127">
        <w:rPr>
          <w:b/>
          <w:u w:val="single"/>
        </w:rPr>
        <w:t xml:space="preserve"> (4</w:t>
      </w:r>
      <w:r>
        <w:rPr>
          <w:b/>
          <w:u w:val="single"/>
        </w:rPr>
        <w:t>5</w:t>
      </w:r>
      <w:r w:rsidRPr="00050127">
        <w:rPr>
          <w:b/>
          <w:u w:val="single"/>
        </w:rPr>
        <w:t>)</w:t>
      </w:r>
      <w:r>
        <w:rPr>
          <w:b/>
          <w:u w:val="single"/>
        </w:rPr>
        <w:t xml:space="preserve">- </w:t>
      </w:r>
      <w:r w:rsidRPr="00034929">
        <w:t xml:space="preserve">odnose se na ulaganja </w:t>
      </w:r>
      <w:r>
        <w:t xml:space="preserve">u zgradu CZK kako bi se </w:t>
      </w:r>
      <w:r w:rsidR="006825EE">
        <w:t>ure</w:t>
      </w:r>
      <w:r>
        <w:t>dio prostor za Memorijalnu zbirku</w:t>
      </w:r>
      <w:r w:rsidRPr="00034929">
        <w:t xml:space="preserve"> </w:t>
      </w:r>
      <w:r>
        <w:t>Olivera Dragojevića.</w:t>
      </w:r>
    </w:p>
    <w:p w:rsidR="004354BA" w:rsidRDefault="004354BA" w:rsidP="00320095"/>
    <w:p w:rsidR="00CE1724" w:rsidRDefault="00CE1724" w:rsidP="00320095">
      <w:r>
        <w:t xml:space="preserve">- </w:t>
      </w:r>
      <w:r w:rsidR="006825EE">
        <w:t>Na d</w:t>
      </w:r>
      <w:r>
        <w:t xml:space="preserve">odatna ulaganja na građevinskim objektima (451) </w:t>
      </w:r>
      <w:r w:rsidR="006825EE">
        <w:t xml:space="preserve">je </w:t>
      </w:r>
      <w:r>
        <w:t xml:space="preserve">potrošeno u promatranom razdoblju tekuće godine </w:t>
      </w:r>
      <w:r w:rsidR="00FF5138">
        <w:t>181.758,23</w:t>
      </w:r>
      <w:r>
        <w:t xml:space="preserve"> eura, </w:t>
      </w:r>
      <w:r w:rsidR="00FF5138">
        <w:t>a godinu ranije 130.083,84 eura.</w:t>
      </w:r>
    </w:p>
    <w:p w:rsidR="00214DA2" w:rsidRDefault="00214DA2" w:rsidP="00EE644D">
      <w:pPr>
        <w:rPr>
          <w:b/>
        </w:rPr>
      </w:pPr>
    </w:p>
    <w:p w:rsidR="002567A9" w:rsidRDefault="00EC6D7D" w:rsidP="00EE644D">
      <w:pPr>
        <w:rPr>
          <w:b/>
        </w:rPr>
      </w:pPr>
      <w:r>
        <w:rPr>
          <w:b/>
        </w:rPr>
        <w:t>2</w:t>
      </w:r>
      <w:r w:rsidR="00990F20">
        <w:rPr>
          <w:b/>
        </w:rPr>
        <w:t>.</w:t>
      </w:r>
      <w:r>
        <w:rPr>
          <w:b/>
        </w:rPr>
        <w:t>)</w:t>
      </w:r>
      <w:r w:rsidR="00990F20">
        <w:rPr>
          <w:b/>
        </w:rPr>
        <w:t xml:space="preserve"> PRIMICI I IZDACI</w:t>
      </w:r>
    </w:p>
    <w:p w:rsidR="00B00FB7" w:rsidRPr="00321598" w:rsidRDefault="00B00FB7" w:rsidP="00EC6D7D">
      <w:pPr>
        <w:pStyle w:val="BodyText"/>
        <w:tabs>
          <w:tab w:val="right" w:leader="dot" w:pos="9072"/>
        </w:tabs>
      </w:pPr>
    </w:p>
    <w:p w:rsidR="00B00FB7" w:rsidRDefault="00B00FB7" w:rsidP="00EC6D7D">
      <w:pPr>
        <w:pStyle w:val="BodyText"/>
        <w:tabs>
          <w:tab w:val="right" w:leader="dot" w:pos="9072"/>
        </w:tabs>
      </w:pPr>
      <w:r w:rsidRPr="00321598">
        <w:rPr>
          <w:b/>
        </w:rPr>
        <w:t>Primici od financijske imovine i zaduživanja (razred 8)</w:t>
      </w:r>
      <w:r w:rsidR="00321598" w:rsidRPr="00321598">
        <w:rPr>
          <w:b/>
        </w:rPr>
        <w:t xml:space="preserve"> </w:t>
      </w:r>
      <w:r w:rsidR="00321598">
        <w:t>- u 2025. Općina nije imala primitaka od zaduživanja, dok je u 2024. imala primitak od 321.550,00 eura kredita od HBOR-a za modernizaciju javne rasvjete LED tehnologijom.</w:t>
      </w:r>
    </w:p>
    <w:p w:rsidR="00321598" w:rsidRDefault="00321598" w:rsidP="00EC6D7D">
      <w:pPr>
        <w:pStyle w:val="BodyText"/>
        <w:tabs>
          <w:tab w:val="right" w:leader="dot" w:pos="9072"/>
        </w:tabs>
      </w:pPr>
    </w:p>
    <w:p w:rsidR="00EC6D7D" w:rsidRDefault="00321598" w:rsidP="00EC6D7D">
      <w:pPr>
        <w:pStyle w:val="BodyText"/>
        <w:tabs>
          <w:tab w:val="right" w:leader="dot" w:pos="9072"/>
        </w:tabs>
      </w:pPr>
      <w:r w:rsidRPr="00321598">
        <w:rPr>
          <w:b/>
        </w:rPr>
        <w:t>Izdaci za financijsku imovinu i otplate zajmova (razred 5)</w:t>
      </w:r>
      <w:r>
        <w:rPr>
          <w:b/>
        </w:rPr>
        <w:t xml:space="preserve"> - </w:t>
      </w:r>
      <w:r>
        <w:t>u</w:t>
      </w:r>
      <w:r w:rsidR="002A30E3">
        <w:t xml:space="preserve"> 2025. </w:t>
      </w:r>
      <w:r>
        <w:t xml:space="preserve">je Općina </w:t>
      </w:r>
      <w:r w:rsidR="002A30E3">
        <w:t>za kredit od HBOR-a za modernizaciju javne rasvjete LED tehnologijom, otpla</w:t>
      </w:r>
      <w:r>
        <w:t>tila</w:t>
      </w:r>
      <w:r w:rsidR="002A30E3">
        <w:t xml:space="preserve"> 21.436,68 eura glavnice kredita</w:t>
      </w:r>
      <w:r>
        <w:t>, dok u 2024. nije imala izdataka za kredite.</w:t>
      </w:r>
    </w:p>
    <w:p w:rsidR="00910C16" w:rsidRDefault="00910C16" w:rsidP="002A30E3">
      <w:pPr>
        <w:pStyle w:val="BodyText"/>
        <w:tabs>
          <w:tab w:val="right" w:leader="dot" w:pos="9072"/>
        </w:tabs>
        <w:jc w:val="left"/>
      </w:pPr>
    </w:p>
    <w:p w:rsidR="00B820EB" w:rsidRDefault="00B820EB" w:rsidP="00B820EB">
      <w:pPr>
        <w:rPr>
          <w:b/>
          <w:u w:val="single"/>
        </w:rPr>
      </w:pPr>
      <w:r>
        <w:rPr>
          <w:b/>
          <w:u w:val="single"/>
        </w:rPr>
        <w:t>III.2.) P</w:t>
      </w:r>
      <w:r w:rsidRPr="00957BF2">
        <w:rPr>
          <w:b/>
          <w:u w:val="single"/>
        </w:rPr>
        <w:t>odaci o stanju novčanih sredstava na računima proračuna i proračunskih korisnika na početku i na kraju proračunske godine.</w:t>
      </w:r>
    </w:p>
    <w:p w:rsidR="00321598" w:rsidRDefault="00321598" w:rsidP="00B820EB">
      <w:pPr>
        <w:rPr>
          <w:b/>
          <w:u w:val="single"/>
        </w:rPr>
      </w:pPr>
    </w:p>
    <w:p w:rsidR="0081332F" w:rsidRDefault="0081332F" w:rsidP="0081332F">
      <w:r>
        <w:t>Uvođenjem sustava Riznice od 01.01.2026. ukidaju se žiro-računi svih proračunskih korisnika te će poslovati preko Općinskog žiro-računa. Sukladno našem dopisu banci s kojim je traženo i potvrđeno zatvaranje računa svih proračunskih korisnika Općine i prijenos stanja s njihovih poslovnih računa na račun Općine, s računa</w:t>
      </w:r>
    </w:p>
    <w:p w:rsidR="0081332F" w:rsidRDefault="0081332F" w:rsidP="0081332F">
      <w:r>
        <w:t>CZK 17.004,86 eura i Knjižnice 720,54 eura = 17.725,40 eura prenijeto je 31.12.25. na ž-r Općine.</w:t>
      </w:r>
    </w:p>
    <w:p w:rsidR="0081332F" w:rsidRDefault="0081332F" w:rsidP="0081332F">
      <w:r>
        <w:t>Banka nije odradila prijenos stanja s računa vrtića 31.12. već 02.01.26. tako je iznos od 5.636,24 eura bio</w:t>
      </w:r>
    </w:p>
    <w:p w:rsidR="0081332F" w:rsidRDefault="0081332F" w:rsidP="0081332F">
      <w:pPr>
        <w:rPr>
          <w:b/>
          <w:sz w:val="22"/>
          <w:szCs w:val="22"/>
        </w:rPr>
      </w:pPr>
      <w:r>
        <w:t>na 31.12. na ž-r vrtića i prenijet od strane banke s računa vrtića na račun Općine tek 02.01.26.</w:t>
      </w:r>
    </w:p>
    <w:p w:rsidR="0081332F" w:rsidRDefault="0081332F" w:rsidP="00B820EB">
      <w:pPr>
        <w:rPr>
          <w:b/>
        </w:rPr>
      </w:pPr>
    </w:p>
    <w:p w:rsidR="00321598" w:rsidRPr="0081332F" w:rsidRDefault="00321598" w:rsidP="00B820EB">
      <w:pPr>
        <w:rPr>
          <w:b/>
        </w:rPr>
      </w:pPr>
      <w:r w:rsidRPr="0081332F">
        <w:rPr>
          <w:b/>
        </w:rPr>
        <w:t>Tablica 7</w:t>
      </w:r>
      <w:r w:rsidR="0081332F">
        <w:rPr>
          <w:b/>
        </w:rPr>
        <w:t>: Podaci o stanju novčanih sredstava</w:t>
      </w:r>
    </w:p>
    <w:tbl>
      <w:tblPr>
        <w:tblW w:w="31577" w:type="dxa"/>
        <w:tblInd w:w="-5" w:type="dxa"/>
        <w:tblLook w:val="04A0" w:firstRow="1" w:lastRow="0" w:firstColumn="1" w:lastColumn="0" w:noHBand="0" w:noVBand="1"/>
      </w:tblPr>
      <w:tblGrid>
        <w:gridCol w:w="936"/>
        <w:gridCol w:w="12792"/>
        <w:gridCol w:w="17849"/>
      </w:tblGrid>
      <w:tr w:rsidR="0081332F" w:rsidRPr="00BA4F35" w:rsidTr="0081332F">
        <w:trPr>
          <w:trHeight w:val="157"/>
        </w:trPr>
        <w:tc>
          <w:tcPr>
            <w:tcW w:w="936" w:type="dxa"/>
            <w:tcBorders>
              <w:top w:val="nil"/>
              <w:left w:val="nil"/>
              <w:bottom w:val="nil"/>
              <w:right w:val="nil"/>
            </w:tcBorders>
            <w:shd w:val="clear" w:color="auto" w:fill="auto"/>
            <w:noWrap/>
            <w:vAlign w:val="bottom"/>
            <w:hideMark/>
          </w:tcPr>
          <w:p w:rsidR="0081332F" w:rsidRDefault="0081332F" w:rsidP="005A776E"/>
          <w:p w:rsidR="0081332F" w:rsidRPr="00BA4F35" w:rsidRDefault="0081332F" w:rsidP="005A776E"/>
        </w:tc>
        <w:tc>
          <w:tcPr>
            <w:tcW w:w="12792" w:type="dxa"/>
            <w:tcBorders>
              <w:top w:val="nil"/>
              <w:left w:val="nil"/>
              <w:bottom w:val="nil"/>
              <w:right w:val="nil"/>
            </w:tcBorders>
          </w:tcPr>
          <w:p w:rsidR="0081332F" w:rsidRPr="00BA4F35" w:rsidRDefault="0081332F" w:rsidP="005A776E">
            <w:pPr>
              <w:rPr>
                <w:b/>
                <w:bCs/>
              </w:rPr>
            </w:pPr>
          </w:p>
        </w:tc>
        <w:tc>
          <w:tcPr>
            <w:tcW w:w="17849" w:type="dxa"/>
            <w:tcBorders>
              <w:top w:val="nil"/>
              <w:left w:val="nil"/>
              <w:bottom w:val="nil"/>
              <w:right w:val="nil"/>
            </w:tcBorders>
            <w:shd w:val="clear" w:color="auto" w:fill="auto"/>
            <w:noWrap/>
            <w:vAlign w:val="bottom"/>
          </w:tcPr>
          <w:p w:rsidR="0081332F" w:rsidRPr="00BA4F35" w:rsidRDefault="0081332F" w:rsidP="005A776E">
            <w:pPr>
              <w:rPr>
                <w:b/>
                <w:bCs/>
              </w:rPr>
            </w:pPr>
          </w:p>
        </w:tc>
      </w:tr>
    </w:tbl>
    <w:tbl>
      <w:tblPr>
        <w:tblStyle w:val="TableGrid"/>
        <w:tblW w:w="0" w:type="auto"/>
        <w:tblLook w:val="04A0" w:firstRow="1" w:lastRow="0" w:firstColumn="1" w:lastColumn="0" w:noHBand="0" w:noVBand="1"/>
      </w:tblPr>
      <w:tblGrid>
        <w:gridCol w:w="3681"/>
        <w:gridCol w:w="3289"/>
        <w:gridCol w:w="3486"/>
      </w:tblGrid>
      <w:tr w:rsidR="00B820EB" w:rsidTr="005A776E">
        <w:tc>
          <w:tcPr>
            <w:tcW w:w="3681" w:type="dxa"/>
          </w:tcPr>
          <w:p w:rsidR="00B820EB" w:rsidRDefault="00B820EB" w:rsidP="005A776E">
            <w:pPr>
              <w:jc w:val="both"/>
              <w:rPr>
                <w:b/>
              </w:rPr>
            </w:pPr>
            <w:r>
              <w:rPr>
                <w:b/>
              </w:rPr>
              <w:t>Proračun/Proračunski korisnik</w:t>
            </w:r>
          </w:p>
        </w:tc>
        <w:tc>
          <w:tcPr>
            <w:tcW w:w="3289" w:type="dxa"/>
          </w:tcPr>
          <w:p w:rsidR="00B820EB" w:rsidRDefault="00B820EB" w:rsidP="005A776E">
            <w:pPr>
              <w:jc w:val="center"/>
              <w:rPr>
                <w:b/>
              </w:rPr>
            </w:pPr>
            <w:r>
              <w:rPr>
                <w:b/>
              </w:rPr>
              <w:t>Stanje novčanih sredstava 01.01.2</w:t>
            </w:r>
            <w:r w:rsidR="007F0357">
              <w:rPr>
                <w:b/>
              </w:rPr>
              <w:t>5</w:t>
            </w:r>
            <w:r>
              <w:rPr>
                <w:b/>
              </w:rPr>
              <w:t>.</w:t>
            </w:r>
          </w:p>
        </w:tc>
        <w:tc>
          <w:tcPr>
            <w:tcW w:w="3486" w:type="dxa"/>
          </w:tcPr>
          <w:p w:rsidR="00B820EB" w:rsidRDefault="00B820EB" w:rsidP="005A776E">
            <w:pPr>
              <w:jc w:val="center"/>
              <w:rPr>
                <w:b/>
              </w:rPr>
            </w:pPr>
            <w:r>
              <w:rPr>
                <w:b/>
              </w:rPr>
              <w:t>Stanje novčanih sredstava 31.12.2</w:t>
            </w:r>
            <w:r w:rsidR="007F0357">
              <w:rPr>
                <w:b/>
              </w:rPr>
              <w:t>5</w:t>
            </w:r>
            <w:r>
              <w:rPr>
                <w:b/>
              </w:rPr>
              <w:t>.</w:t>
            </w:r>
          </w:p>
        </w:tc>
      </w:tr>
      <w:tr w:rsidR="00B820EB" w:rsidTr="005A776E">
        <w:tc>
          <w:tcPr>
            <w:tcW w:w="3681" w:type="dxa"/>
          </w:tcPr>
          <w:p w:rsidR="00B820EB" w:rsidRPr="008A0E49" w:rsidRDefault="00B820EB" w:rsidP="00B820EB">
            <w:r w:rsidRPr="008A0E49">
              <w:t>Općina Vela Luka</w:t>
            </w:r>
          </w:p>
        </w:tc>
        <w:tc>
          <w:tcPr>
            <w:tcW w:w="3289" w:type="dxa"/>
          </w:tcPr>
          <w:p w:rsidR="00B820EB" w:rsidRPr="008A0E49" w:rsidRDefault="00B820EB" w:rsidP="00B820EB">
            <w:pPr>
              <w:jc w:val="right"/>
            </w:pPr>
            <w:r w:rsidRPr="008A0E49">
              <w:t>987.622,09</w:t>
            </w:r>
          </w:p>
        </w:tc>
        <w:tc>
          <w:tcPr>
            <w:tcW w:w="3486" w:type="dxa"/>
          </w:tcPr>
          <w:p w:rsidR="00B820EB" w:rsidRPr="008A0E49" w:rsidRDefault="007F0357" w:rsidP="00B820EB">
            <w:pPr>
              <w:jc w:val="right"/>
            </w:pPr>
            <w:r>
              <w:t>88.736,15</w:t>
            </w:r>
          </w:p>
        </w:tc>
      </w:tr>
      <w:tr w:rsidR="00B820EB" w:rsidTr="005A776E">
        <w:tc>
          <w:tcPr>
            <w:tcW w:w="3681" w:type="dxa"/>
          </w:tcPr>
          <w:p w:rsidR="00B820EB" w:rsidRPr="008A0E49" w:rsidRDefault="00B820EB" w:rsidP="00B820EB">
            <w:r w:rsidRPr="008A0E49">
              <w:t>Dječji vrtić Radost</w:t>
            </w:r>
          </w:p>
        </w:tc>
        <w:tc>
          <w:tcPr>
            <w:tcW w:w="3289" w:type="dxa"/>
          </w:tcPr>
          <w:p w:rsidR="00B820EB" w:rsidRPr="008A0E49" w:rsidRDefault="00B820EB" w:rsidP="00B820EB">
            <w:pPr>
              <w:jc w:val="right"/>
            </w:pPr>
            <w:r>
              <w:t>6.010,61</w:t>
            </w:r>
          </w:p>
        </w:tc>
        <w:tc>
          <w:tcPr>
            <w:tcW w:w="3486" w:type="dxa"/>
          </w:tcPr>
          <w:p w:rsidR="00B820EB" w:rsidRPr="008A0E49" w:rsidRDefault="007F0357" w:rsidP="00B820EB">
            <w:pPr>
              <w:jc w:val="right"/>
            </w:pPr>
            <w:r>
              <w:t>5.636,24</w:t>
            </w:r>
          </w:p>
        </w:tc>
      </w:tr>
      <w:tr w:rsidR="00B820EB" w:rsidTr="005A776E">
        <w:tc>
          <w:tcPr>
            <w:tcW w:w="3681" w:type="dxa"/>
          </w:tcPr>
          <w:p w:rsidR="00B820EB" w:rsidRPr="008A0E49" w:rsidRDefault="00B820EB" w:rsidP="00B820EB">
            <w:r w:rsidRPr="008A0E49">
              <w:t>Centar za kulturu Vela Luka</w:t>
            </w:r>
          </w:p>
        </w:tc>
        <w:tc>
          <w:tcPr>
            <w:tcW w:w="3289" w:type="dxa"/>
          </w:tcPr>
          <w:p w:rsidR="00B820EB" w:rsidRPr="008A0E49" w:rsidRDefault="00B820EB" w:rsidP="00B820EB">
            <w:pPr>
              <w:jc w:val="right"/>
            </w:pPr>
            <w:r>
              <w:t>8.275,58</w:t>
            </w:r>
          </w:p>
        </w:tc>
        <w:tc>
          <w:tcPr>
            <w:tcW w:w="3486" w:type="dxa"/>
          </w:tcPr>
          <w:p w:rsidR="00B820EB" w:rsidRPr="008A0E49" w:rsidRDefault="007F0357" w:rsidP="00B820EB">
            <w:pPr>
              <w:jc w:val="right"/>
            </w:pPr>
            <w:r>
              <w:t>0,00</w:t>
            </w:r>
          </w:p>
        </w:tc>
      </w:tr>
      <w:tr w:rsidR="00B820EB" w:rsidTr="005A776E">
        <w:tc>
          <w:tcPr>
            <w:tcW w:w="3681" w:type="dxa"/>
          </w:tcPr>
          <w:p w:rsidR="00B820EB" w:rsidRPr="008A0E49" w:rsidRDefault="00B820EB" w:rsidP="00B820EB">
            <w:r w:rsidRPr="008A0E49">
              <w:t>Narodna knjižnica „Šime Vučetić“</w:t>
            </w:r>
          </w:p>
        </w:tc>
        <w:tc>
          <w:tcPr>
            <w:tcW w:w="3289" w:type="dxa"/>
          </w:tcPr>
          <w:p w:rsidR="00B820EB" w:rsidRPr="008A0E49" w:rsidRDefault="00B820EB" w:rsidP="00B820EB">
            <w:pPr>
              <w:jc w:val="right"/>
            </w:pPr>
            <w:r>
              <w:t>753,20</w:t>
            </w:r>
          </w:p>
        </w:tc>
        <w:tc>
          <w:tcPr>
            <w:tcW w:w="3486" w:type="dxa"/>
          </w:tcPr>
          <w:p w:rsidR="00B820EB" w:rsidRPr="008A0E49" w:rsidRDefault="007F0357" w:rsidP="00B820EB">
            <w:pPr>
              <w:jc w:val="right"/>
            </w:pPr>
            <w:r>
              <w:t>0,00</w:t>
            </w:r>
          </w:p>
        </w:tc>
      </w:tr>
      <w:tr w:rsidR="00B820EB" w:rsidTr="005A776E">
        <w:tc>
          <w:tcPr>
            <w:tcW w:w="3681" w:type="dxa"/>
          </w:tcPr>
          <w:p w:rsidR="00B820EB" w:rsidRDefault="00B820EB" w:rsidP="00B820EB">
            <w:pPr>
              <w:jc w:val="right"/>
              <w:rPr>
                <w:b/>
              </w:rPr>
            </w:pPr>
            <w:r>
              <w:rPr>
                <w:b/>
              </w:rPr>
              <w:t>Ukupno</w:t>
            </w:r>
          </w:p>
        </w:tc>
        <w:tc>
          <w:tcPr>
            <w:tcW w:w="3289" w:type="dxa"/>
          </w:tcPr>
          <w:p w:rsidR="00B820EB" w:rsidRPr="008A0E49" w:rsidRDefault="00B820EB" w:rsidP="00B820EB">
            <w:pPr>
              <w:jc w:val="right"/>
              <w:rPr>
                <w:b/>
              </w:rPr>
            </w:pPr>
            <w:r w:rsidRPr="008A0E49">
              <w:rPr>
                <w:b/>
              </w:rPr>
              <w:fldChar w:fldCharType="begin"/>
            </w:r>
            <w:r w:rsidRPr="008A0E49">
              <w:rPr>
                <w:b/>
              </w:rPr>
              <w:instrText xml:space="preserve"> =SUM(ABOVE) </w:instrText>
            </w:r>
            <w:r w:rsidRPr="008A0E49">
              <w:rPr>
                <w:b/>
              </w:rPr>
              <w:fldChar w:fldCharType="separate"/>
            </w:r>
            <w:r w:rsidRPr="008A0E49">
              <w:rPr>
                <w:b/>
                <w:noProof/>
              </w:rPr>
              <w:t>1.002.661,48</w:t>
            </w:r>
            <w:r w:rsidRPr="008A0E49">
              <w:rPr>
                <w:b/>
              </w:rPr>
              <w:fldChar w:fldCharType="end"/>
            </w:r>
          </w:p>
        </w:tc>
        <w:tc>
          <w:tcPr>
            <w:tcW w:w="3486" w:type="dxa"/>
          </w:tcPr>
          <w:p w:rsidR="00B820EB" w:rsidRPr="008A0E49" w:rsidRDefault="007F0357" w:rsidP="00B820EB">
            <w:pPr>
              <w:jc w:val="right"/>
              <w:rPr>
                <w:b/>
              </w:rPr>
            </w:pPr>
            <w:r>
              <w:rPr>
                <w:b/>
              </w:rPr>
              <w:t>94.372,39</w:t>
            </w:r>
          </w:p>
        </w:tc>
      </w:tr>
    </w:tbl>
    <w:p w:rsidR="004354BA" w:rsidRDefault="004354BA" w:rsidP="004E504D">
      <w:pPr>
        <w:jc w:val="both"/>
        <w:rPr>
          <w:b/>
          <w:u w:val="single"/>
        </w:rPr>
      </w:pPr>
    </w:p>
    <w:p w:rsidR="00910C16" w:rsidRDefault="00910C16" w:rsidP="00B820EB">
      <w:pPr>
        <w:rPr>
          <w:b/>
          <w:u w:val="single"/>
        </w:rPr>
      </w:pPr>
    </w:p>
    <w:p w:rsidR="00990F20" w:rsidRPr="00990F20" w:rsidRDefault="0029233F" w:rsidP="00B820EB">
      <w:pPr>
        <w:rPr>
          <w:b/>
          <w:u w:val="single"/>
        </w:rPr>
      </w:pPr>
      <w:r>
        <w:rPr>
          <w:b/>
          <w:u w:val="single"/>
        </w:rPr>
        <w:t>III</w:t>
      </w:r>
      <w:r w:rsidR="00990F20" w:rsidRPr="00990F20">
        <w:rPr>
          <w:b/>
          <w:u w:val="single"/>
        </w:rPr>
        <w:t>.</w:t>
      </w:r>
      <w:r>
        <w:rPr>
          <w:b/>
          <w:u w:val="single"/>
        </w:rPr>
        <w:t>3</w:t>
      </w:r>
      <w:r w:rsidR="00990F20" w:rsidRPr="00990F20">
        <w:rPr>
          <w:b/>
          <w:u w:val="single"/>
        </w:rPr>
        <w:t>.)</w:t>
      </w:r>
      <w:r w:rsidR="00B820EB">
        <w:rPr>
          <w:b/>
          <w:u w:val="single"/>
        </w:rPr>
        <w:t xml:space="preserve"> </w:t>
      </w:r>
      <w:r w:rsidR="00990F20" w:rsidRPr="00990F20">
        <w:rPr>
          <w:b/>
          <w:u w:val="single"/>
        </w:rPr>
        <w:t>Prikaz ostvarenog manjka odnosno viška proračuna u izvještajnom razdoblju</w:t>
      </w:r>
      <w:r>
        <w:rPr>
          <w:b/>
          <w:u w:val="single"/>
        </w:rPr>
        <w:t xml:space="preserve"> (Općine i proračunskih korisnika)</w:t>
      </w:r>
    </w:p>
    <w:p w:rsidR="00990F20" w:rsidRDefault="00990F20" w:rsidP="004E504D">
      <w:pPr>
        <w:jc w:val="both"/>
        <w:rPr>
          <w:b/>
        </w:rPr>
      </w:pPr>
    </w:p>
    <w:p w:rsidR="00AE2E8F" w:rsidRDefault="00AE2E8F" w:rsidP="00AE2E8F">
      <w:pPr>
        <w:rPr>
          <w:bCs/>
        </w:rPr>
      </w:pPr>
      <w:r>
        <w:rPr>
          <w:bCs/>
        </w:rPr>
        <w:t xml:space="preserve">I. </w:t>
      </w:r>
      <w:r w:rsidRPr="006B3D1E">
        <w:rPr>
          <w:bCs/>
        </w:rPr>
        <w:t>Pri izradi Plan</w:t>
      </w:r>
      <w:r>
        <w:rPr>
          <w:bCs/>
        </w:rPr>
        <w:t>a proračuna za 2025. godinu</w:t>
      </w:r>
      <w:r w:rsidRPr="006B3D1E">
        <w:rPr>
          <w:bCs/>
        </w:rPr>
        <w:t xml:space="preserve">, uvrstio se u Proračun </w:t>
      </w:r>
      <w:r w:rsidRPr="006B3D1E">
        <w:rPr>
          <w:bCs/>
          <w:u w:val="single"/>
        </w:rPr>
        <w:t>procijenjeni</w:t>
      </w:r>
      <w:r w:rsidRPr="006B3D1E">
        <w:rPr>
          <w:bCs/>
        </w:rPr>
        <w:t xml:space="preserve"> rezultat poslovanja</w:t>
      </w:r>
      <w:r>
        <w:rPr>
          <w:bCs/>
        </w:rPr>
        <w:t xml:space="preserve"> u iznosu od 818.795,00 EUR (Općina 813.345,00 EUR + proračunski korisnici 5.450,00 EUR). </w:t>
      </w:r>
    </w:p>
    <w:p w:rsidR="00AE2E8F" w:rsidRDefault="00AE2E8F" w:rsidP="00AE2E8F">
      <w:pPr>
        <w:rPr>
          <w:bCs/>
        </w:rPr>
      </w:pPr>
      <w:r w:rsidRPr="00C8487D">
        <w:rPr>
          <w:bCs/>
          <w:u w:val="single"/>
        </w:rPr>
        <w:t>O</w:t>
      </w:r>
      <w:r w:rsidRPr="006B3D1E">
        <w:rPr>
          <w:bCs/>
          <w:u w:val="single"/>
        </w:rPr>
        <w:t>stvareni</w:t>
      </w:r>
      <w:r w:rsidRPr="006B3D1E">
        <w:rPr>
          <w:bCs/>
        </w:rPr>
        <w:t xml:space="preserve"> </w:t>
      </w:r>
      <w:r>
        <w:rPr>
          <w:bCs/>
        </w:rPr>
        <w:t xml:space="preserve">rezultat u iznosu od </w:t>
      </w:r>
      <w:r>
        <w:rPr>
          <w:b/>
          <w:bCs/>
        </w:rPr>
        <w:t xml:space="preserve">958.036,96 eura </w:t>
      </w:r>
      <w:r w:rsidRPr="00DC1086">
        <w:rPr>
          <w:bCs/>
        </w:rPr>
        <w:t>(</w:t>
      </w:r>
      <w:r w:rsidRPr="00DC1086">
        <w:t>Višak Općine 942.609,06 eura + višak proračunskih korisnika 15.427,90 eura</w:t>
      </w:r>
      <w:r>
        <w:t>)</w:t>
      </w:r>
      <w:r>
        <w:rPr>
          <w:bCs/>
        </w:rPr>
        <w:t>, se je</w:t>
      </w:r>
      <w:r w:rsidRPr="00671A6E">
        <w:rPr>
          <w:bCs/>
        </w:rPr>
        <w:t xml:space="preserve"> </w:t>
      </w:r>
      <w:r>
        <w:rPr>
          <w:bCs/>
        </w:rPr>
        <w:t>uvrstio u Proračun 2025. prvim izmjenama i dopunama proračuna, koje su donesene od strane Općinskog vijeća dana 03.04.2025. godine.</w:t>
      </w:r>
    </w:p>
    <w:p w:rsidR="00AE2E8F" w:rsidRDefault="00AE2E8F" w:rsidP="00AE2E8F">
      <w:pPr>
        <w:rPr>
          <w:bCs/>
        </w:rPr>
      </w:pPr>
    </w:p>
    <w:p w:rsidR="0081332F" w:rsidRDefault="0081332F" w:rsidP="00AE2E8F">
      <w:pPr>
        <w:rPr>
          <w:b/>
        </w:rPr>
      </w:pPr>
    </w:p>
    <w:p w:rsidR="00AE2E8F" w:rsidRPr="00AE2E8F" w:rsidRDefault="00AE2E8F" w:rsidP="00AE2E8F">
      <w:pPr>
        <w:rPr>
          <w:b/>
        </w:rPr>
      </w:pPr>
      <w:r w:rsidRPr="00AE2E8F">
        <w:rPr>
          <w:b/>
        </w:rPr>
        <w:lastRenderedPageBreak/>
        <w:t xml:space="preserve">Tablica </w:t>
      </w:r>
      <w:r w:rsidR="0081332F">
        <w:rPr>
          <w:b/>
        </w:rPr>
        <w:t>8</w:t>
      </w:r>
      <w:r w:rsidRPr="00AE2E8F">
        <w:rPr>
          <w:b/>
        </w:rPr>
        <w:t>: Prikaz planiranog i ostvarenog rezultata 2025.</w:t>
      </w:r>
    </w:p>
    <w:p w:rsidR="00AE2E8F" w:rsidRDefault="00AE2E8F" w:rsidP="00AE2E8F"/>
    <w:tbl>
      <w:tblPr>
        <w:tblW w:w="9967" w:type="dxa"/>
        <w:tblInd w:w="93" w:type="dxa"/>
        <w:tblLook w:val="0000" w:firstRow="0" w:lastRow="0" w:firstColumn="0" w:lastColumn="0" w:noHBand="0" w:noVBand="0"/>
      </w:tblPr>
      <w:tblGrid>
        <w:gridCol w:w="4155"/>
        <w:gridCol w:w="2835"/>
        <w:gridCol w:w="2977"/>
      </w:tblGrid>
      <w:tr w:rsidR="00AE2E8F" w:rsidRPr="007C794D" w:rsidTr="007C137F">
        <w:trPr>
          <w:trHeight w:val="565"/>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2E8F" w:rsidRPr="007C794D" w:rsidRDefault="00AE2E8F" w:rsidP="007C137F">
            <w:pPr>
              <w:rPr>
                <w:rFonts w:ascii="Arial" w:hAnsi="Arial" w:cs="Arial"/>
                <w:sz w:val="20"/>
                <w:szCs w:val="20"/>
              </w:rPr>
            </w:pPr>
            <w:r>
              <w:rPr>
                <w:rFonts w:ascii="Arial" w:hAnsi="Arial" w:cs="Arial"/>
                <w:sz w:val="20"/>
                <w:szCs w:val="20"/>
              </w:rPr>
              <w:t>Proračun/Proračunski korisnik</w:t>
            </w:r>
          </w:p>
        </w:tc>
        <w:tc>
          <w:tcPr>
            <w:tcW w:w="2835" w:type="dxa"/>
            <w:tcBorders>
              <w:top w:val="single" w:sz="4" w:space="0" w:color="auto"/>
              <w:left w:val="nil"/>
              <w:bottom w:val="single" w:sz="4" w:space="0" w:color="auto"/>
              <w:right w:val="single" w:sz="4" w:space="0" w:color="auto"/>
            </w:tcBorders>
            <w:vAlign w:val="center"/>
          </w:tcPr>
          <w:p w:rsidR="00AE2E8F" w:rsidRPr="007C794D" w:rsidRDefault="00AE2E8F" w:rsidP="007C137F">
            <w:pPr>
              <w:rPr>
                <w:rFonts w:ascii="Arial" w:hAnsi="Arial" w:cs="Arial"/>
                <w:sz w:val="20"/>
                <w:szCs w:val="20"/>
              </w:rPr>
            </w:pPr>
            <w:r w:rsidRPr="007C794D">
              <w:rPr>
                <w:rFonts w:ascii="Arial" w:hAnsi="Arial" w:cs="Arial"/>
                <w:sz w:val="20"/>
                <w:szCs w:val="20"/>
              </w:rPr>
              <w:t>P</w:t>
            </w:r>
            <w:r>
              <w:rPr>
                <w:rFonts w:ascii="Arial" w:hAnsi="Arial" w:cs="Arial"/>
                <w:sz w:val="20"/>
                <w:szCs w:val="20"/>
              </w:rPr>
              <w:t>LANIRANI/PROCIJENJENI</w:t>
            </w:r>
            <w:r w:rsidRPr="007C794D">
              <w:rPr>
                <w:rFonts w:ascii="Arial" w:hAnsi="Arial" w:cs="Arial"/>
                <w:sz w:val="20"/>
                <w:szCs w:val="20"/>
              </w:rPr>
              <w:t xml:space="preserve">  </w:t>
            </w:r>
            <w:r>
              <w:rPr>
                <w:rFonts w:ascii="Arial" w:hAnsi="Arial" w:cs="Arial"/>
                <w:sz w:val="20"/>
                <w:szCs w:val="20"/>
              </w:rPr>
              <w:t>rezultat</w:t>
            </w:r>
            <w:r w:rsidRPr="007C794D">
              <w:rPr>
                <w:rFonts w:ascii="Arial" w:hAnsi="Arial" w:cs="Arial"/>
                <w:sz w:val="20"/>
                <w:szCs w:val="20"/>
              </w:rPr>
              <w:t xml:space="preserve"> </w:t>
            </w:r>
            <w:r>
              <w:rPr>
                <w:rFonts w:ascii="Arial" w:hAnsi="Arial" w:cs="Arial"/>
                <w:sz w:val="20"/>
                <w:szCs w:val="20"/>
              </w:rPr>
              <w:t>za Proračun 2025.</w:t>
            </w:r>
          </w:p>
        </w:tc>
        <w:tc>
          <w:tcPr>
            <w:tcW w:w="2977" w:type="dxa"/>
            <w:tcBorders>
              <w:top w:val="single" w:sz="4" w:space="0" w:color="auto"/>
              <w:left w:val="nil"/>
              <w:bottom w:val="single" w:sz="4" w:space="0" w:color="auto"/>
              <w:right w:val="single" w:sz="4" w:space="0" w:color="auto"/>
            </w:tcBorders>
          </w:tcPr>
          <w:p w:rsidR="00AE2E8F" w:rsidRDefault="00AE2E8F" w:rsidP="007C137F">
            <w:pPr>
              <w:jc w:val="center"/>
              <w:rPr>
                <w:rFonts w:ascii="Arial" w:hAnsi="Arial" w:cs="Arial"/>
                <w:sz w:val="20"/>
                <w:szCs w:val="20"/>
              </w:rPr>
            </w:pPr>
            <w:r>
              <w:rPr>
                <w:rFonts w:ascii="Arial" w:hAnsi="Arial" w:cs="Arial"/>
                <w:sz w:val="20"/>
                <w:szCs w:val="20"/>
              </w:rPr>
              <w:t>OSTVARENI</w:t>
            </w:r>
            <w:r w:rsidRPr="007C794D">
              <w:rPr>
                <w:rFonts w:ascii="Arial" w:hAnsi="Arial" w:cs="Arial"/>
                <w:sz w:val="20"/>
                <w:szCs w:val="20"/>
              </w:rPr>
              <w:t xml:space="preserve"> rezultat </w:t>
            </w:r>
            <w:r>
              <w:rPr>
                <w:rFonts w:ascii="Arial" w:hAnsi="Arial" w:cs="Arial"/>
                <w:sz w:val="20"/>
                <w:szCs w:val="20"/>
              </w:rPr>
              <w:t>raspoloživ u Proračunu 2025.</w:t>
            </w:r>
          </w:p>
        </w:tc>
      </w:tr>
      <w:tr w:rsidR="00AE2E8F" w:rsidRPr="00352828" w:rsidTr="007C137F">
        <w:trPr>
          <w:trHeight w:val="255"/>
        </w:trPr>
        <w:tc>
          <w:tcPr>
            <w:tcW w:w="4155" w:type="dxa"/>
            <w:tcBorders>
              <w:top w:val="nil"/>
              <w:left w:val="single" w:sz="4" w:space="0" w:color="auto"/>
              <w:bottom w:val="single" w:sz="4" w:space="0" w:color="auto"/>
              <w:right w:val="single" w:sz="4" w:space="0" w:color="auto"/>
            </w:tcBorders>
            <w:shd w:val="clear" w:color="auto" w:fill="FFFFFF" w:themeFill="background1"/>
            <w:noWrap/>
            <w:vAlign w:val="bottom"/>
          </w:tcPr>
          <w:p w:rsidR="00AE2E8F" w:rsidRPr="00352828" w:rsidRDefault="00AE2E8F" w:rsidP="007C137F">
            <w:pPr>
              <w:rPr>
                <w:rFonts w:ascii="Arial" w:hAnsi="Arial" w:cs="Arial"/>
                <w:bCs/>
                <w:sz w:val="20"/>
                <w:szCs w:val="20"/>
              </w:rPr>
            </w:pPr>
            <w:r w:rsidRPr="00352828">
              <w:rPr>
                <w:rFonts w:ascii="Arial" w:hAnsi="Arial" w:cs="Arial"/>
                <w:bCs/>
                <w:sz w:val="20"/>
                <w:szCs w:val="20"/>
              </w:rPr>
              <w:t xml:space="preserve">OPĆINA VELA LUKA </w:t>
            </w:r>
          </w:p>
        </w:tc>
        <w:tc>
          <w:tcPr>
            <w:tcW w:w="2835" w:type="dxa"/>
            <w:tcBorders>
              <w:top w:val="nil"/>
              <w:left w:val="nil"/>
              <w:bottom w:val="single" w:sz="4" w:space="0" w:color="auto"/>
              <w:right w:val="single" w:sz="4" w:space="0" w:color="auto"/>
            </w:tcBorders>
            <w:shd w:val="clear" w:color="auto" w:fill="FFFFFF" w:themeFill="background1"/>
            <w:noWrap/>
          </w:tcPr>
          <w:p w:rsidR="00AE2E8F" w:rsidRPr="00352828" w:rsidRDefault="00AE2E8F" w:rsidP="007C137F">
            <w:pPr>
              <w:jc w:val="right"/>
              <w:rPr>
                <w:rFonts w:ascii="Arial" w:hAnsi="Arial" w:cs="Arial"/>
                <w:bCs/>
                <w:sz w:val="20"/>
                <w:szCs w:val="20"/>
              </w:rPr>
            </w:pPr>
            <w:r w:rsidRPr="00352828">
              <w:rPr>
                <w:rFonts w:ascii="Arial" w:hAnsi="Arial" w:cs="Arial"/>
                <w:bCs/>
                <w:sz w:val="20"/>
                <w:szCs w:val="20"/>
              </w:rPr>
              <w:t>813.345,00</w:t>
            </w:r>
          </w:p>
        </w:tc>
        <w:tc>
          <w:tcPr>
            <w:tcW w:w="2977" w:type="dxa"/>
            <w:tcBorders>
              <w:top w:val="nil"/>
              <w:left w:val="nil"/>
              <w:bottom w:val="single" w:sz="4" w:space="0" w:color="auto"/>
              <w:right w:val="single" w:sz="4" w:space="0" w:color="auto"/>
            </w:tcBorders>
            <w:shd w:val="clear" w:color="auto" w:fill="FFFFFF" w:themeFill="background1"/>
            <w:noWrap/>
          </w:tcPr>
          <w:p w:rsidR="00AE2E8F" w:rsidRPr="00352828" w:rsidRDefault="00AE2E8F" w:rsidP="007C137F">
            <w:pPr>
              <w:jc w:val="right"/>
              <w:rPr>
                <w:rFonts w:ascii="Arial" w:hAnsi="Arial" w:cs="Arial"/>
                <w:bCs/>
                <w:sz w:val="20"/>
                <w:szCs w:val="20"/>
              </w:rPr>
            </w:pPr>
            <w:r w:rsidRPr="00352828">
              <w:rPr>
                <w:rFonts w:ascii="Arial" w:hAnsi="Arial" w:cs="Arial"/>
                <w:bCs/>
                <w:sz w:val="20"/>
                <w:szCs w:val="20"/>
              </w:rPr>
              <w:t>942.609,06</w:t>
            </w:r>
          </w:p>
        </w:tc>
      </w:tr>
      <w:tr w:rsidR="00AE2E8F" w:rsidRPr="00352828" w:rsidTr="007C137F">
        <w:trPr>
          <w:trHeight w:val="412"/>
        </w:trPr>
        <w:tc>
          <w:tcPr>
            <w:tcW w:w="4155" w:type="dxa"/>
            <w:tcBorders>
              <w:top w:val="nil"/>
              <w:left w:val="single" w:sz="4" w:space="0" w:color="auto"/>
              <w:bottom w:val="single" w:sz="4" w:space="0" w:color="auto"/>
              <w:right w:val="single" w:sz="4" w:space="0" w:color="auto"/>
            </w:tcBorders>
            <w:shd w:val="clear" w:color="auto" w:fill="FFFFFF" w:themeFill="background1"/>
            <w:noWrap/>
            <w:vAlign w:val="bottom"/>
          </w:tcPr>
          <w:p w:rsidR="00AE2E8F" w:rsidRPr="00352828" w:rsidRDefault="00AE2E8F" w:rsidP="007C137F">
            <w:pPr>
              <w:rPr>
                <w:rFonts w:ascii="Arial" w:hAnsi="Arial" w:cs="Arial"/>
                <w:bCs/>
                <w:sz w:val="20"/>
                <w:szCs w:val="20"/>
              </w:rPr>
            </w:pPr>
            <w:r w:rsidRPr="00352828">
              <w:rPr>
                <w:rFonts w:ascii="Arial" w:hAnsi="Arial" w:cs="Arial"/>
                <w:bCs/>
                <w:sz w:val="20"/>
                <w:szCs w:val="20"/>
              </w:rPr>
              <w:t>DJEČJI VRTIĆ RADOST VELA LUKA</w:t>
            </w:r>
          </w:p>
        </w:tc>
        <w:tc>
          <w:tcPr>
            <w:tcW w:w="2835" w:type="dxa"/>
            <w:tcBorders>
              <w:top w:val="nil"/>
              <w:left w:val="nil"/>
              <w:bottom w:val="single" w:sz="4" w:space="0" w:color="auto"/>
              <w:right w:val="single" w:sz="4" w:space="0" w:color="auto"/>
            </w:tcBorders>
            <w:shd w:val="clear" w:color="auto" w:fill="FFFFFF" w:themeFill="background1"/>
            <w:noWrap/>
          </w:tcPr>
          <w:p w:rsidR="00AE2E8F" w:rsidRDefault="00AE2E8F" w:rsidP="007C137F">
            <w:pPr>
              <w:jc w:val="right"/>
              <w:rPr>
                <w:rFonts w:ascii="Arial" w:hAnsi="Arial" w:cs="Arial"/>
                <w:bCs/>
                <w:sz w:val="20"/>
                <w:szCs w:val="20"/>
              </w:rPr>
            </w:pPr>
          </w:p>
          <w:p w:rsidR="00AE2E8F" w:rsidRPr="00352828" w:rsidRDefault="00AE2E8F" w:rsidP="007C137F">
            <w:pPr>
              <w:jc w:val="right"/>
              <w:rPr>
                <w:rFonts w:ascii="Arial" w:hAnsi="Arial" w:cs="Arial"/>
                <w:bCs/>
                <w:sz w:val="20"/>
                <w:szCs w:val="20"/>
              </w:rPr>
            </w:pPr>
            <w:r>
              <w:rPr>
                <w:rFonts w:ascii="Arial" w:hAnsi="Arial" w:cs="Arial"/>
                <w:bCs/>
                <w:sz w:val="20"/>
                <w:szCs w:val="20"/>
              </w:rPr>
              <w:t>5</w:t>
            </w:r>
            <w:r w:rsidRPr="00352828">
              <w:rPr>
                <w:rFonts w:ascii="Arial" w:hAnsi="Arial" w:cs="Arial"/>
                <w:bCs/>
                <w:sz w:val="20"/>
                <w:szCs w:val="20"/>
              </w:rPr>
              <w:t>0,00</w:t>
            </w:r>
          </w:p>
        </w:tc>
        <w:tc>
          <w:tcPr>
            <w:tcW w:w="2977" w:type="dxa"/>
            <w:tcBorders>
              <w:top w:val="nil"/>
              <w:left w:val="nil"/>
              <w:bottom w:val="single" w:sz="4" w:space="0" w:color="auto"/>
              <w:right w:val="single" w:sz="4" w:space="0" w:color="auto"/>
            </w:tcBorders>
            <w:shd w:val="clear" w:color="auto" w:fill="FFFFFF" w:themeFill="background1"/>
            <w:noWrap/>
          </w:tcPr>
          <w:p w:rsidR="00AE2E8F" w:rsidRDefault="00AE2E8F" w:rsidP="007C137F">
            <w:pPr>
              <w:jc w:val="right"/>
              <w:rPr>
                <w:rFonts w:ascii="Arial" w:hAnsi="Arial" w:cs="Arial"/>
                <w:bCs/>
                <w:sz w:val="20"/>
                <w:szCs w:val="20"/>
              </w:rPr>
            </w:pPr>
          </w:p>
          <w:p w:rsidR="00AE2E8F" w:rsidRPr="00352828" w:rsidRDefault="00AE2E8F" w:rsidP="007C137F">
            <w:pPr>
              <w:jc w:val="right"/>
              <w:rPr>
                <w:rFonts w:ascii="Arial" w:hAnsi="Arial" w:cs="Arial"/>
                <w:bCs/>
                <w:sz w:val="20"/>
                <w:szCs w:val="20"/>
              </w:rPr>
            </w:pPr>
            <w:r>
              <w:rPr>
                <w:rFonts w:ascii="Arial" w:hAnsi="Arial" w:cs="Arial"/>
                <w:bCs/>
                <w:sz w:val="20"/>
                <w:szCs w:val="20"/>
              </w:rPr>
              <w:t>5.809,03</w:t>
            </w:r>
          </w:p>
        </w:tc>
      </w:tr>
      <w:tr w:rsidR="00AE2E8F" w:rsidRPr="00352828" w:rsidTr="007C137F">
        <w:trPr>
          <w:trHeight w:val="276"/>
        </w:trPr>
        <w:tc>
          <w:tcPr>
            <w:tcW w:w="4155" w:type="dxa"/>
            <w:tcBorders>
              <w:top w:val="nil"/>
              <w:left w:val="single" w:sz="4" w:space="0" w:color="auto"/>
              <w:bottom w:val="single" w:sz="4" w:space="0" w:color="auto"/>
              <w:right w:val="single" w:sz="4" w:space="0" w:color="auto"/>
            </w:tcBorders>
            <w:shd w:val="clear" w:color="auto" w:fill="FFFFFF" w:themeFill="background1"/>
            <w:noWrap/>
            <w:vAlign w:val="bottom"/>
          </w:tcPr>
          <w:p w:rsidR="00AE2E8F" w:rsidRPr="00352828" w:rsidRDefault="00AE2E8F" w:rsidP="007C137F">
            <w:pPr>
              <w:rPr>
                <w:rFonts w:ascii="Arial" w:hAnsi="Arial" w:cs="Arial"/>
                <w:bCs/>
                <w:sz w:val="20"/>
                <w:szCs w:val="20"/>
              </w:rPr>
            </w:pPr>
            <w:r w:rsidRPr="00352828">
              <w:rPr>
                <w:rFonts w:ascii="Arial" w:hAnsi="Arial" w:cs="Arial"/>
                <w:bCs/>
                <w:sz w:val="20"/>
                <w:szCs w:val="20"/>
              </w:rPr>
              <w:t>NARODNA KNJIŽNICA „ŠIME VUČETIĆ“</w:t>
            </w:r>
          </w:p>
        </w:tc>
        <w:tc>
          <w:tcPr>
            <w:tcW w:w="2835" w:type="dxa"/>
            <w:tcBorders>
              <w:top w:val="nil"/>
              <w:left w:val="nil"/>
              <w:bottom w:val="single" w:sz="4" w:space="0" w:color="auto"/>
              <w:right w:val="single" w:sz="4" w:space="0" w:color="auto"/>
            </w:tcBorders>
            <w:shd w:val="clear" w:color="auto" w:fill="FFFFFF" w:themeFill="background1"/>
            <w:noWrap/>
          </w:tcPr>
          <w:p w:rsidR="00AE2E8F" w:rsidRPr="00352828" w:rsidRDefault="00AE2E8F" w:rsidP="007C137F">
            <w:pPr>
              <w:jc w:val="right"/>
              <w:rPr>
                <w:rFonts w:ascii="Arial" w:hAnsi="Arial" w:cs="Arial"/>
                <w:bCs/>
                <w:sz w:val="20"/>
                <w:szCs w:val="20"/>
              </w:rPr>
            </w:pPr>
          </w:p>
          <w:p w:rsidR="00AE2E8F" w:rsidRPr="00352828" w:rsidRDefault="00AE2E8F" w:rsidP="007C137F">
            <w:pPr>
              <w:jc w:val="right"/>
              <w:rPr>
                <w:rFonts w:ascii="Arial" w:hAnsi="Arial" w:cs="Arial"/>
                <w:bCs/>
                <w:sz w:val="20"/>
                <w:szCs w:val="20"/>
              </w:rPr>
            </w:pPr>
            <w:r>
              <w:rPr>
                <w:rFonts w:ascii="Arial" w:hAnsi="Arial" w:cs="Arial"/>
                <w:bCs/>
                <w:sz w:val="20"/>
                <w:szCs w:val="20"/>
              </w:rPr>
              <w:t>40</w:t>
            </w:r>
            <w:r w:rsidRPr="00352828">
              <w:rPr>
                <w:rFonts w:ascii="Arial" w:hAnsi="Arial" w:cs="Arial"/>
                <w:bCs/>
                <w:sz w:val="20"/>
                <w:szCs w:val="20"/>
              </w:rPr>
              <w:t>0,00</w:t>
            </w:r>
          </w:p>
        </w:tc>
        <w:tc>
          <w:tcPr>
            <w:tcW w:w="2977" w:type="dxa"/>
            <w:tcBorders>
              <w:top w:val="nil"/>
              <w:left w:val="nil"/>
              <w:bottom w:val="single" w:sz="4" w:space="0" w:color="auto"/>
              <w:right w:val="single" w:sz="4" w:space="0" w:color="auto"/>
            </w:tcBorders>
            <w:shd w:val="clear" w:color="auto" w:fill="FFFFFF" w:themeFill="background1"/>
            <w:noWrap/>
          </w:tcPr>
          <w:p w:rsidR="00AE2E8F" w:rsidRPr="00352828" w:rsidRDefault="00AE2E8F" w:rsidP="007C137F">
            <w:pPr>
              <w:jc w:val="right"/>
              <w:rPr>
                <w:rFonts w:ascii="Arial" w:hAnsi="Arial" w:cs="Arial"/>
                <w:bCs/>
                <w:sz w:val="20"/>
                <w:szCs w:val="20"/>
              </w:rPr>
            </w:pPr>
          </w:p>
          <w:p w:rsidR="00AE2E8F" w:rsidRPr="00352828" w:rsidRDefault="00AE2E8F" w:rsidP="007C137F">
            <w:pPr>
              <w:jc w:val="right"/>
              <w:rPr>
                <w:rFonts w:ascii="Arial" w:hAnsi="Arial" w:cs="Arial"/>
                <w:bCs/>
                <w:sz w:val="20"/>
                <w:szCs w:val="20"/>
              </w:rPr>
            </w:pPr>
            <w:r>
              <w:rPr>
                <w:rFonts w:ascii="Arial" w:hAnsi="Arial" w:cs="Arial"/>
                <w:bCs/>
                <w:sz w:val="20"/>
                <w:szCs w:val="20"/>
              </w:rPr>
              <w:t>753,20</w:t>
            </w:r>
          </w:p>
        </w:tc>
      </w:tr>
      <w:tr w:rsidR="00AE2E8F" w:rsidRPr="00352828" w:rsidTr="007C137F">
        <w:trPr>
          <w:trHeight w:val="255"/>
        </w:trPr>
        <w:tc>
          <w:tcPr>
            <w:tcW w:w="4155" w:type="dxa"/>
            <w:tcBorders>
              <w:top w:val="nil"/>
              <w:left w:val="single" w:sz="4" w:space="0" w:color="auto"/>
              <w:bottom w:val="single" w:sz="4" w:space="0" w:color="auto"/>
              <w:right w:val="single" w:sz="4" w:space="0" w:color="auto"/>
            </w:tcBorders>
            <w:shd w:val="clear" w:color="auto" w:fill="FFFFFF" w:themeFill="background1"/>
            <w:noWrap/>
            <w:vAlign w:val="bottom"/>
          </w:tcPr>
          <w:p w:rsidR="00AE2E8F" w:rsidRPr="00352828" w:rsidRDefault="00AE2E8F" w:rsidP="007C137F">
            <w:pPr>
              <w:rPr>
                <w:rFonts w:ascii="Arial" w:hAnsi="Arial" w:cs="Arial"/>
                <w:bCs/>
                <w:sz w:val="20"/>
                <w:szCs w:val="20"/>
              </w:rPr>
            </w:pPr>
            <w:r w:rsidRPr="00352828">
              <w:rPr>
                <w:rFonts w:ascii="Arial" w:hAnsi="Arial" w:cs="Arial"/>
                <w:bCs/>
                <w:sz w:val="20"/>
                <w:szCs w:val="20"/>
              </w:rPr>
              <w:t>CENTAR ZA KULTURU VELA LUKA</w:t>
            </w:r>
          </w:p>
        </w:tc>
        <w:tc>
          <w:tcPr>
            <w:tcW w:w="2835" w:type="dxa"/>
            <w:tcBorders>
              <w:top w:val="nil"/>
              <w:left w:val="nil"/>
              <w:bottom w:val="single" w:sz="4" w:space="0" w:color="auto"/>
              <w:right w:val="single" w:sz="4" w:space="0" w:color="auto"/>
            </w:tcBorders>
            <w:shd w:val="clear" w:color="auto" w:fill="FFFFFF" w:themeFill="background1"/>
            <w:noWrap/>
          </w:tcPr>
          <w:p w:rsidR="00AE2E8F" w:rsidRPr="00352828" w:rsidRDefault="00AE2E8F" w:rsidP="007C137F">
            <w:pPr>
              <w:jc w:val="right"/>
              <w:rPr>
                <w:rFonts w:ascii="Arial" w:hAnsi="Arial" w:cs="Arial"/>
                <w:bCs/>
                <w:sz w:val="20"/>
                <w:szCs w:val="20"/>
              </w:rPr>
            </w:pPr>
            <w:r>
              <w:rPr>
                <w:rFonts w:ascii="Arial" w:hAnsi="Arial" w:cs="Arial"/>
                <w:bCs/>
                <w:sz w:val="20"/>
                <w:szCs w:val="20"/>
              </w:rPr>
              <w:t>5.000</w:t>
            </w:r>
            <w:r w:rsidRPr="00352828">
              <w:rPr>
                <w:rFonts w:ascii="Arial" w:hAnsi="Arial" w:cs="Arial"/>
                <w:bCs/>
                <w:sz w:val="20"/>
                <w:szCs w:val="20"/>
              </w:rPr>
              <w:t>,00</w:t>
            </w:r>
          </w:p>
        </w:tc>
        <w:tc>
          <w:tcPr>
            <w:tcW w:w="2977" w:type="dxa"/>
            <w:tcBorders>
              <w:top w:val="nil"/>
              <w:left w:val="nil"/>
              <w:bottom w:val="single" w:sz="4" w:space="0" w:color="auto"/>
              <w:right w:val="single" w:sz="4" w:space="0" w:color="auto"/>
            </w:tcBorders>
            <w:shd w:val="clear" w:color="auto" w:fill="FFFFFF" w:themeFill="background1"/>
            <w:noWrap/>
          </w:tcPr>
          <w:p w:rsidR="00AE2E8F" w:rsidRPr="00352828" w:rsidRDefault="00AE2E8F" w:rsidP="007C137F">
            <w:pPr>
              <w:jc w:val="right"/>
              <w:rPr>
                <w:rFonts w:ascii="Arial" w:hAnsi="Arial" w:cs="Arial"/>
                <w:bCs/>
                <w:sz w:val="20"/>
                <w:szCs w:val="20"/>
              </w:rPr>
            </w:pPr>
            <w:r>
              <w:rPr>
                <w:rFonts w:ascii="Arial" w:hAnsi="Arial" w:cs="Arial"/>
                <w:bCs/>
                <w:sz w:val="20"/>
                <w:szCs w:val="20"/>
              </w:rPr>
              <w:t>8.865,67</w:t>
            </w:r>
          </w:p>
        </w:tc>
      </w:tr>
      <w:tr w:rsidR="00AE2E8F" w:rsidRPr="0081332F" w:rsidTr="007C137F">
        <w:trPr>
          <w:trHeight w:val="245"/>
        </w:trPr>
        <w:tc>
          <w:tcPr>
            <w:tcW w:w="4155" w:type="dxa"/>
            <w:tcBorders>
              <w:top w:val="nil"/>
              <w:left w:val="single" w:sz="4" w:space="0" w:color="auto"/>
              <w:bottom w:val="single" w:sz="4" w:space="0" w:color="auto"/>
              <w:right w:val="single" w:sz="4" w:space="0" w:color="auto"/>
            </w:tcBorders>
            <w:shd w:val="clear" w:color="auto" w:fill="FFFFFF" w:themeFill="background1"/>
            <w:noWrap/>
            <w:vAlign w:val="bottom"/>
          </w:tcPr>
          <w:p w:rsidR="00AE2E8F" w:rsidRPr="0081332F" w:rsidRDefault="00AE2E8F" w:rsidP="007C137F">
            <w:pPr>
              <w:rPr>
                <w:rFonts w:ascii="Arial" w:hAnsi="Arial" w:cs="Arial"/>
                <w:b/>
                <w:bCs/>
                <w:sz w:val="20"/>
                <w:szCs w:val="20"/>
              </w:rPr>
            </w:pPr>
            <w:r w:rsidRPr="0081332F">
              <w:rPr>
                <w:rFonts w:ascii="Arial" w:hAnsi="Arial" w:cs="Arial"/>
                <w:b/>
                <w:bCs/>
                <w:sz w:val="20"/>
                <w:szCs w:val="20"/>
              </w:rPr>
              <w:t>KONSOLIDIRANI FINANCIJSKI IZVJEŠTAJ (UKUPNO)</w:t>
            </w:r>
          </w:p>
        </w:tc>
        <w:tc>
          <w:tcPr>
            <w:tcW w:w="2835" w:type="dxa"/>
            <w:tcBorders>
              <w:top w:val="nil"/>
              <w:left w:val="nil"/>
              <w:bottom w:val="single" w:sz="4" w:space="0" w:color="auto"/>
              <w:right w:val="single" w:sz="4" w:space="0" w:color="auto"/>
            </w:tcBorders>
            <w:shd w:val="clear" w:color="auto" w:fill="FFFFFF" w:themeFill="background1"/>
            <w:noWrap/>
          </w:tcPr>
          <w:p w:rsidR="00AE2E8F" w:rsidRPr="0081332F" w:rsidRDefault="00AE2E8F" w:rsidP="007C137F">
            <w:pPr>
              <w:jc w:val="right"/>
              <w:rPr>
                <w:rFonts w:ascii="Arial" w:hAnsi="Arial" w:cs="Arial"/>
                <w:b/>
                <w:bCs/>
                <w:sz w:val="20"/>
                <w:szCs w:val="20"/>
              </w:rPr>
            </w:pPr>
          </w:p>
          <w:p w:rsidR="00AE2E8F" w:rsidRPr="0081332F" w:rsidRDefault="00AE2E8F" w:rsidP="007C137F">
            <w:pPr>
              <w:jc w:val="right"/>
              <w:rPr>
                <w:rFonts w:ascii="Arial" w:hAnsi="Arial" w:cs="Arial"/>
                <w:b/>
                <w:bCs/>
                <w:sz w:val="20"/>
                <w:szCs w:val="20"/>
              </w:rPr>
            </w:pPr>
            <w:r w:rsidRPr="0081332F">
              <w:rPr>
                <w:rFonts w:ascii="Arial" w:hAnsi="Arial" w:cs="Arial"/>
                <w:b/>
                <w:bCs/>
                <w:sz w:val="20"/>
                <w:szCs w:val="20"/>
              </w:rPr>
              <w:fldChar w:fldCharType="begin"/>
            </w:r>
            <w:r w:rsidRPr="0081332F">
              <w:rPr>
                <w:rFonts w:ascii="Arial" w:hAnsi="Arial" w:cs="Arial"/>
                <w:b/>
                <w:bCs/>
                <w:sz w:val="20"/>
                <w:szCs w:val="20"/>
              </w:rPr>
              <w:instrText xml:space="preserve"> =SUM(ABOVE) </w:instrText>
            </w:r>
            <w:r w:rsidRPr="0081332F">
              <w:rPr>
                <w:rFonts w:ascii="Arial" w:hAnsi="Arial" w:cs="Arial"/>
                <w:b/>
                <w:bCs/>
                <w:sz w:val="20"/>
                <w:szCs w:val="20"/>
              </w:rPr>
              <w:fldChar w:fldCharType="separate"/>
            </w:r>
            <w:r w:rsidRPr="0081332F">
              <w:rPr>
                <w:rFonts w:ascii="Arial" w:hAnsi="Arial" w:cs="Arial"/>
                <w:b/>
                <w:bCs/>
                <w:noProof/>
                <w:sz w:val="20"/>
                <w:szCs w:val="20"/>
              </w:rPr>
              <w:t>818.795</w:t>
            </w:r>
            <w:r w:rsidRPr="0081332F">
              <w:rPr>
                <w:rFonts w:ascii="Arial" w:hAnsi="Arial" w:cs="Arial"/>
                <w:b/>
                <w:bCs/>
                <w:sz w:val="20"/>
                <w:szCs w:val="20"/>
              </w:rPr>
              <w:fldChar w:fldCharType="end"/>
            </w:r>
            <w:r w:rsidRPr="0081332F">
              <w:rPr>
                <w:rFonts w:ascii="Arial" w:hAnsi="Arial" w:cs="Arial"/>
                <w:b/>
                <w:bCs/>
                <w:sz w:val="20"/>
                <w:szCs w:val="20"/>
              </w:rPr>
              <w:t>,00</w:t>
            </w:r>
          </w:p>
        </w:tc>
        <w:tc>
          <w:tcPr>
            <w:tcW w:w="2977" w:type="dxa"/>
            <w:tcBorders>
              <w:top w:val="nil"/>
              <w:left w:val="nil"/>
              <w:bottom w:val="single" w:sz="4" w:space="0" w:color="auto"/>
              <w:right w:val="single" w:sz="4" w:space="0" w:color="auto"/>
            </w:tcBorders>
            <w:shd w:val="clear" w:color="auto" w:fill="FFFFFF" w:themeFill="background1"/>
            <w:noWrap/>
          </w:tcPr>
          <w:p w:rsidR="00AE2E8F" w:rsidRPr="0081332F" w:rsidRDefault="00AE2E8F" w:rsidP="007C137F">
            <w:pPr>
              <w:jc w:val="right"/>
              <w:rPr>
                <w:rFonts w:ascii="Arial" w:hAnsi="Arial" w:cs="Arial"/>
                <w:b/>
                <w:bCs/>
                <w:sz w:val="20"/>
                <w:szCs w:val="20"/>
              </w:rPr>
            </w:pPr>
          </w:p>
          <w:p w:rsidR="00AE2E8F" w:rsidRPr="0081332F" w:rsidRDefault="00AE2E8F" w:rsidP="007C137F">
            <w:pPr>
              <w:jc w:val="right"/>
              <w:rPr>
                <w:rFonts w:ascii="Arial" w:hAnsi="Arial" w:cs="Arial"/>
                <w:b/>
                <w:bCs/>
                <w:sz w:val="20"/>
                <w:szCs w:val="20"/>
              </w:rPr>
            </w:pPr>
            <w:r w:rsidRPr="0081332F">
              <w:rPr>
                <w:rFonts w:ascii="Arial" w:hAnsi="Arial" w:cs="Arial"/>
                <w:b/>
                <w:bCs/>
                <w:sz w:val="20"/>
                <w:szCs w:val="20"/>
              </w:rPr>
              <w:fldChar w:fldCharType="begin"/>
            </w:r>
            <w:r w:rsidRPr="0081332F">
              <w:rPr>
                <w:rFonts w:ascii="Arial" w:hAnsi="Arial" w:cs="Arial"/>
                <w:b/>
                <w:bCs/>
                <w:sz w:val="20"/>
                <w:szCs w:val="20"/>
              </w:rPr>
              <w:instrText xml:space="preserve"> =SUM(ABOVE) </w:instrText>
            </w:r>
            <w:r w:rsidRPr="0081332F">
              <w:rPr>
                <w:rFonts w:ascii="Arial" w:hAnsi="Arial" w:cs="Arial"/>
                <w:b/>
                <w:bCs/>
                <w:sz w:val="20"/>
                <w:szCs w:val="20"/>
              </w:rPr>
              <w:fldChar w:fldCharType="separate"/>
            </w:r>
            <w:r w:rsidRPr="0081332F">
              <w:rPr>
                <w:rFonts w:ascii="Arial" w:hAnsi="Arial" w:cs="Arial"/>
                <w:b/>
                <w:bCs/>
                <w:noProof/>
                <w:sz w:val="20"/>
                <w:szCs w:val="20"/>
              </w:rPr>
              <w:t>958.036,96</w:t>
            </w:r>
            <w:r w:rsidRPr="0081332F">
              <w:rPr>
                <w:rFonts w:ascii="Arial" w:hAnsi="Arial" w:cs="Arial"/>
                <w:b/>
                <w:bCs/>
                <w:sz w:val="20"/>
                <w:szCs w:val="20"/>
              </w:rPr>
              <w:fldChar w:fldCharType="end"/>
            </w:r>
          </w:p>
        </w:tc>
      </w:tr>
    </w:tbl>
    <w:p w:rsidR="00AE2E8F" w:rsidRDefault="00AE2E8F" w:rsidP="00AE2E8F">
      <w:pPr>
        <w:rPr>
          <w:u w:val="single"/>
        </w:rPr>
      </w:pPr>
    </w:p>
    <w:p w:rsidR="00AE2E8F" w:rsidRPr="00AE2E8F" w:rsidRDefault="00AE2E8F" w:rsidP="00AE2E8F">
      <w:pPr>
        <w:rPr>
          <w:b/>
        </w:rPr>
      </w:pPr>
      <w:r w:rsidRPr="00AE2E8F">
        <w:rPr>
          <w:b/>
        </w:rPr>
        <w:t xml:space="preserve">Tablica </w:t>
      </w:r>
      <w:r w:rsidR="0081332F">
        <w:rPr>
          <w:b/>
        </w:rPr>
        <w:t>9</w:t>
      </w:r>
      <w:r w:rsidRPr="00AE2E8F">
        <w:rPr>
          <w:b/>
        </w:rPr>
        <w:t xml:space="preserve">: Ostvareni višak prihoda raspoloživ u 2025. godini, raščlanjen prema izvorima financiranja </w:t>
      </w:r>
    </w:p>
    <w:p w:rsidR="00AE2E8F" w:rsidRDefault="00AE2E8F" w:rsidP="00AE2E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282"/>
      </w:tblGrid>
      <w:tr w:rsidR="00AE2E8F" w:rsidRPr="00092C58" w:rsidTr="00AE2E8F">
        <w:tc>
          <w:tcPr>
            <w:tcW w:w="5778" w:type="dxa"/>
          </w:tcPr>
          <w:p w:rsidR="00AE2E8F" w:rsidRPr="00092C58" w:rsidRDefault="00AE2E8F" w:rsidP="007C137F">
            <w:pPr>
              <w:rPr>
                <w:b/>
              </w:rPr>
            </w:pPr>
            <w:r w:rsidRPr="00092C58">
              <w:rPr>
                <w:b/>
              </w:rPr>
              <w:t>Izvor financiranja</w:t>
            </w:r>
          </w:p>
        </w:tc>
        <w:tc>
          <w:tcPr>
            <w:tcW w:w="4282" w:type="dxa"/>
          </w:tcPr>
          <w:p w:rsidR="00AE2E8F" w:rsidRPr="00092C58" w:rsidRDefault="00AE2E8F" w:rsidP="007C137F">
            <w:pPr>
              <w:jc w:val="right"/>
              <w:rPr>
                <w:b/>
              </w:rPr>
            </w:pPr>
            <w:r>
              <w:rPr>
                <w:b/>
              </w:rPr>
              <w:t xml:space="preserve">01.01.2025. </w:t>
            </w:r>
            <w:r w:rsidRPr="00092C58">
              <w:rPr>
                <w:b/>
              </w:rPr>
              <w:t>Višak</w:t>
            </w:r>
            <w:r>
              <w:rPr>
                <w:b/>
              </w:rPr>
              <w:t xml:space="preserve"> prihoda u eurima</w:t>
            </w:r>
            <w:r w:rsidRPr="00092C58">
              <w:rPr>
                <w:b/>
              </w:rPr>
              <w:t xml:space="preserve"> </w:t>
            </w:r>
          </w:p>
        </w:tc>
      </w:tr>
      <w:tr w:rsidR="00AE2E8F" w:rsidRPr="00B97EEE" w:rsidTr="00AE2E8F">
        <w:tc>
          <w:tcPr>
            <w:tcW w:w="5778" w:type="dxa"/>
          </w:tcPr>
          <w:p w:rsidR="00AE2E8F" w:rsidRPr="00B97EEE" w:rsidRDefault="00AE2E8F" w:rsidP="007C137F">
            <w:r>
              <w:t>1.2. Opći prihodi i primici</w:t>
            </w:r>
          </w:p>
        </w:tc>
        <w:tc>
          <w:tcPr>
            <w:tcW w:w="4282" w:type="dxa"/>
          </w:tcPr>
          <w:p w:rsidR="00AE2E8F" w:rsidRPr="00B97EEE" w:rsidRDefault="00AE2E8F" w:rsidP="007C137F">
            <w:pPr>
              <w:jc w:val="right"/>
            </w:pPr>
            <w:r>
              <w:t>788.529,86</w:t>
            </w:r>
          </w:p>
        </w:tc>
      </w:tr>
      <w:tr w:rsidR="00AE2E8F" w:rsidRPr="00B97EEE" w:rsidTr="00AE2E8F">
        <w:tc>
          <w:tcPr>
            <w:tcW w:w="5778" w:type="dxa"/>
          </w:tcPr>
          <w:p w:rsidR="00AE2E8F" w:rsidRPr="00B97EEE" w:rsidRDefault="00AE2E8F" w:rsidP="007C137F">
            <w:r>
              <w:t>4.2. Prihodi za posebne namjene – komunalni doprinos</w:t>
            </w:r>
          </w:p>
        </w:tc>
        <w:tc>
          <w:tcPr>
            <w:tcW w:w="4282" w:type="dxa"/>
          </w:tcPr>
          <w:p w:rsidR="00AE2E8F" w:rsidRDefault="00AE2E8F" w:rsidP="007C137F">
            <w:pPr>
              <w:jc w:val="right"/>
            </w:pPr>
            <w:r>
              <w:t>42.412,69</w:t>
            </w:r>
          </w:p>
        </w:tc>
      </w:tr>
      <w:tr w:rsidR="00AE2E8F" w:rsidRPr="00B97EEE" w:rsidTr="00AE2E8F">
        <w:tc>
          <w:tcPr>
            <w:tcW w:w="5778" w:type="dxa"/>
          </w:tcPr>
          <w:p w:rsidR="00AE2E8F" w:rsidRDefault="00AE2E8F" w:rsidP="007C137F">
            <w:r>
              <w:t>5.1. Pomoći</w:t>
            </w:r>
          </w:p>
        </w:tc>
        <w:tc>
          <w:tcPr>
            <w:tcW w:w="4282" w:type="dxa"/>
          </w:tcPr>
          <w:p w:rsidR="00AE2E8F" w:rsidRDefault="00AE2E8F" w:rsidP="007C137F">
            <w:pPr>
              <w:jc w:val="right"/>
            </w:pPr>
            <w:r>
              <w:t>15.465,13</w:t>
            </w:r>
          </w:p>
        </w:tc>
      </w:tr>
      <w:tr w:rsidR="00AE2E8F" w:rsidRPr="00B97EEE" w:rsidTr="00AE2E8F">
        <w:tc>
          <w:tcPr>
            <w:tcW w:w="5778" w:type="dxa"/>
          </w:tcPr>
          <w:p w:rsidR="00AE2E8F" w:rsidRDefault="00AE2E8F" w:rsidP="007C137F">
            <w:r>
              <w:t>5.6. Pomoći EU- Projekt Zaželi</w:t>
            </w:r>
          </w:p>
        </w:tc>
        <w:tc>
          <w:tcPr>
            <w:tcW w:w="4282" w:type="dxa"/>
          </w:tcPr>
          <w:p w:rsidR="00AE2E8F" w:rsidRDefault="00AE2E8F" w:rsidP="007C137F">
            <w:pPr>
              <w:jc w:val="right"/>
            </w:pPr>
            <w:r>
              <w:t>94.701,38</w:t>
            </w:r>
          </w:p>
        </w:tc>
      </w:tr>
      <w:tr w:rsidR="00AE2E8F" w:rsidRPr="00B97EEE" w:rsidTr="00AE2E8F">
        <w:tc>
          <w:tcPr>
            <w:tcW w:w="5778" w:type="dxa"/>
          </w:tcPr>
          <w:p w:rsidR="00AE2E8F" w:rsidRPr="00B97EEE" w:rsidRDefault="00AE2E8F" w:rsidP="007C137F">
            <w:r>
              <w:t>6.1. Donacije</w:t>
            </w:r>
          </w:p>
        </w:tc>
        <w:tc>
          <w:tcPr>
            <w:tcW w:w="4282" w:type="dxa"/>
          </w:tcPr>
          <w:p w:rsidR="00AE2E8F" w:rsidRDefault="00AE2E8F" w:rsidP="007C137F">
            <w:pPr>
              <w:jc w:val="right"/>
            </w:pPr>
            <w:r>
              <w:t>1.500,00</w:t>
            </w:r>
          </w:p>
        </w:tc>
      </w:tr>
      <w:tr w:rsidR="00AE2E8F" w:rsidRPr="00994ACD" w:rsidTr="00AE2E8F">
        <w:tc>
          <w:tcPr>
            <w:tcW w:w="5778" w:type="dxa"/>
          </w:tcPr>
          <w:p w:rsidR="00AE2E8F" w:rsidRPr="00994ACD" w:rsidRDefault="00AE2E8F" w:rsidP="007C137F">
            <w:pPr>
              <w:jc w:val="right"/>
              <w:rPr>
                <w:b/>
              </w:rPr>
            </w:pPr>
            <w:r w:rsidRPr="00994ACD">
              <w:rPr>
                <w:b/>
              </w:rPr>
              <w:t>OPĆINA - UKUPNO</w:t>
            </w:r>
          </w:p>
        </w:tc>
        <w:tc>
          <w:tcPr>
            <w:tcW w:w="4282" w:type="dxa"/>
          </w:tcPr>
          <w:p w:rsidR="00AE2E8F" w:rsidRPr="00994ACD" w:rsidRDefault="00AE2E8F" w:rsidP="007C137F">
            <w:pPr>
              <w:jc w:val="right"/>
              <w:rPr>
                <w:b/>
              </w:rPr>
            </w:pPr>
            <w:r>
              <w:rPr>
                <w:b/>
              </w:rPr>
              <w:fldChar w:fldCharType="begin"/>
            </w:r>
            <w:r>
              <w:rPr>
                <w:b/>
              </w:rPr>
              <w:instrText xml:space="preserve"> =SUM(ABOVE) </w:instrText>
            </w:r>
            <w:r>
              <w:rPr>
                <w:b/>
              </w:rPr>
              <w:fldChar w:fldCharType="separate"/>
            </w:r>
            <w:r>
              <w:rPr>
                <w:b/>
                <w:noProof/>
              </w:rPr>
              <w:t>942.609,06</w:t>
            </w:r>
            <w:r>
              <w:rPr>
                <w:b/>
              </w:rPr>
              <w:fldChar w:fldCharType="end"/>
            </w:r>
          </w:p>
        </w:tc>
      </w:tr>
      <w:tr w:rsidR="00AE2E8F" w:rsidRPr="00B97EEE" w:rsidTr="00AE2E8F">
        <w:tc>
          <w:tcPr>
            <w:tcW w:w="5778" w:type="dxa"/>
          </w:tcPr>
          <w:p w:rsidR="00AE2E8F" w:rsidRDefault="00AE2E8F" w:rsidP="007C137F">
            <w:r>
              <w:t xml:space="preserve">4.9. Prihodi za posebne namjene - Preneseni višak </w:t>
            </w:r>
            <w:r w:rsidRPr="00994ACD">
              <w:rPr>
                <w:u w:val="single"/>
              </w:rPr>
              <w:t>proračunskih korisnika</w:t>
            </w:r>
          </w:p>
        </w:tc>
        <w:tc>
          <w:tcPr>
            <w:tcW w:w="4282" w:type="dxa"/>
          </w:tcPr>
          <w:p w:rsidR="00AE2E8F" w:rsidRDefault="00AE2E8F" w:rsidP="007C137F">
            <w:pPr>
              <w:jc w:val="right"/>
            </w:pPr>
            <w:r>
              <w:t>15.427,90</w:t>
            </w:r>
          </w:p>
        </w:tc>
      </w:tr>
      <w:tr w:rsidR="00AE2E8F" w:rsidRPr="00994ACD" w:rsidTr="00AE2E8F">
        <w:tc>
          <w:tcPr>
            <w:tcW w:w="5778" w:type="dxa"/>
          </w:tcPr>
          <w:p w:rsidR="00AE2E8F" w:rsidRPr="00994ACD" w:rsidRDefault="00AE2E8F" w:rsidP="007C137F">
            <w:pPr>
              <w:jc w:val="right"/>
              <w:rPr>
                <w:b/>
              </w:rPr>
            </w:pPr>
            <w:r w:rsidRPr="00994ACD">
              <w:rPr>
                <w:b/>
              </w:rPr>
              <w:t>UKUPNO</w:t>
            </w:r>
          </w:p>
        </w:tc>
        <w:tc>
          <w:tcPr>
            <w:tcW w:w="4282" w:type="dxa"/>
          </w:tcPr>
          <w:p w:rsidR="00AE2E8F" w:rsidRPr="00994ACD" w:rsidRDefault="00AE2E8F" w:rsidP="007C137F">
            <w:pPr>
              <w:jc w:val="right"/>
              <w:rPr>
                <w:b/>
              </w:rPr>
            </w:pPr>
            <w:r w:rsidRPr="00994ACD">
              <w:rPr>
                <w:b/>
              </w:rPr>
              <w:fldChar w:fldCharType="begin"/>
            </w:r>
            <w:r w:rsidRPr="00994ACD">
              <w:rPr>
                <w:b/>
              </w:rPr>
              <w:instrText xml:space="preserve"> =SUM(ABOVE) </w:instrText>
            </w:r>
            <w:r w:rsidRPr="00994ACD">
              <w:rPr>
                <w:b/>
              </w:rPr>
              <w:fldChar w:fldCharType="separate"/>
            </w:r>
            <w:r>
              <w:rPr>
                <w:b/>
                <w:noProof/>
              </w:rPr>
              <w:t>958.03</w:t>
            </w:r>
            <w:r w:rsidRPr="00994ACD">
              <w:rPr>
                <w:b/>
              </w:rPr>
              <w:fldChar w:fldCharType="end"/>
            </w:r>
            <w:r>
              <w:rPr>
                <w:b/>
              </w:rPr>
              <w:t>6,96</w:t>
            </w:r>
          </w:p>
        </w:tc>
      </w:tr>
    </w:tbl>
    <w:p w:rsidR="00AE2E8F" w:rsidRDefault="00AE2E8F" w:rsidP="00671A6E">
      <w:pPr>
        <w:rPr>
          <w:bCs/>
        </w:rPr>
      </w:pPr>
    </w:p>
    <w:p w:rsidR="008D5BAC" w:rsidRDefault="008D5BAC" w:rsidP="00671A6E">
      <w:pPr>
        <w:rPr>
          <w:bCs/>
        </w:rPr>
      </w:pPr>
    </w:p>
    <w:p w:rsidR="008D5BAC" w:rsidRDefault="008D5BAC" w:rsidP="00671A6E">
      <w:pPr>
        <w:rPr>
          <w:bCs/>
        </w:rPr>
      </w:pPr>
    </w:p>
    <w:p w:rsidR="00AE2E8F" w:rsidRPr="003B5D52" w:rsidRDefault="00AE2E8F" w:rsidP="00AE2E8F">
      <w:r w:rsidRPr="003B5D52">
        <w:t>II. Pregled strukture ostvarenog manjka/viška po svakom pojedinom korisniku na dan 3</w:t>
      </w:r>
      <w:r>
        <w:t>1</w:t>
      </w:r>
      <w:r w:rsidRPr="003B5D52">
        <w:t>.</w:t>
      </w:r>
      <w:r>
        <w:t>12</w:t>
      </w:r>
      <w:r w:rsidRPr="003B5D52">
        <w:t>.2025. godine.</w:t>
      </w:r>
    </w:p>
    <w:p w:rsidR="00AE2E8F" w:rsidRDefault="00AE2E8F" w:rsidP="00AE2E8F"/>
    <w:p w:rsidR="00AE2E8F" w:rsidRPr="00AC63D4" w:rsidRDefault="00AE2E8F" w:rsidP="0076533D">
      <w:pPr>
        <w:numPr>
          <w:ilvl w:val="0"/>
          <w:numId w:val="1"/>
        </w:numPr>
      </w:pPr>
      <w:r w:rsidRPr="00AC63D4">
        <w:t xml:space="preserve">Centar za kulturu Vela Luka “ – ostvario je </w:t>
      </w:r>
      <w:r>
        <w:t>manjak</w:t>
      </w:r>
      <w:r w:rsidRPr="00AC63D4">
        <w:t xml:space="preserve"> prihoda tekuće godine u iznosu od </w:t>
      </w:r>
      <w:r>
        <w:t>84,83 eura</w:t>
      </w:r>
      <w:r w:rsidRPr="00AC63D4">
        <w:t xml:space="preserve"> koji zajedno s prenesenim viškom prihoda iz prethodne godine u iznosu od </w:t>
      </w:r>
      <w:r w:rsidRPr="009C4DF8">
        <w:t>8.865,67</w:t>
      </w:r>
      <w:r>
        <w:rPr>
          <w:b/>
        </w:rPr>
        <w:t xml:space="preserve"> </w:t>
      </w:r>
      <w:r>
        <w:t xml:space="preserve">eura, </w:t>
      </w:r>
      <w:r w:rsidRPr="00AC63D4">
        <w:t xml:space="preserve">ukupno daje </w:t>
      </w:r>
      <w:r w:rsidRPr="00AC63D4">
        <w:rPr>
          <w:b/>
        </w:rPr>
        <w:t>višak</w:t>
      </w:r>
      <w:r w:rsidRPr="00AC63D4">
        <w:t xml:space="preserve"> prihoda i primitaka raspoloživ u sljedećem razdoblju u iznosu od </w:t>
      </w:r>
      <w:r>
        <w:rPr>
          <w:b/>
        </w:rPr>
        <w:t>8.780,84 eura.</w:t>
      </w:r>
    </w:p>
    <w:p w:rsidR="00AE2E8F" w:rsidRDefault="00AE2E8F" w:rsidP="0076533D">
      <w:pPr>
        <w:numPr>
          <w:ilvl w:val="0"/>
          <w:numId w:val="1"/>
        </w:numPr>
      </w:pPr>
      <w:r w:rsidRPr="00AC63D4">
        <w:t>Narodna knjižnica „Šime Vučetić“ – ostvarila je</w:t>
      </w:r>
      <w:r>
        <w:t xml:space="preserve"> manjak</w:t>
      </w:r>
      <w:r w:rsidRPr="00AC63D4">
        <w:t xml:space="preserve"> prihoda tekuće godine u iznosu od </w:t>
      </w:r>
      <w:r>
        <w:t xml:space="preserve">27,83 eura </w:t>
      </w:r>
      <w:r w:rsidRPr="00AC63D4">
        <w:t xml:space="preserve">koji zajedno s prenesenim viškom iz prethodne godine u iznosu od </w:t>
      </w:r>
      <w:r w:rsidRPr="004E1627">
        <w:t>753,20</w:t>
      </w:r>
      <w:r>
        <w:rPr>
          <w:b/>
        </w:rPr>
        <w:t xml:space="preserve"> </w:t>
      </w:r>
      <w:r>
        <w:t xml:space="preserve">eura, </w:t>
      </w:r>
      <w:r w:rsidRPr="00AC63D4">
        <w:t xml:space="preserve">ukupno daje </w:t>
      </w:r>
      <w:r w:rsidRPr="00AC63D4">
        <w:rPr>
          <w:b/>
        </w:rPr>
        <w:t>višak</w:t>
      </w:r>
      <w:r w:rsidRPr="00AC63D4">
        <w:t xml:space="preserve"> prihoda i primitaka raspoloživ u sljedećem razdoblju u iznosu od </w:t>
      </w:r>
      <w:r>
        <w:rPr>
          <w:b/>
        </w:rPr>
        <w:t>725,37 eura.</w:t>
      </w:r>
    </w:p>
    <w:p w:rsidR="00AE2E8F" w:rsidRPr="00AC63D4" w:rsidRDefault="00AE2E8F" w:rsidP="0076533D">
      <w:pPr>
        <w:numPr>
          <w:ilvl w:val="0"/>
          <w:numId w:val="1"/>
        </w:numPr>
      </w:pPr>
      <w:r w:rsidRPr="00AC63D4">
        <w:t xml:space="preserve">Dječji vrtić “Radost“ - ostvario je </w:t>
      </w:r>
      <w:r>
        <w:t>manjak</w:t>
      </w:r>
      <w:r w:rsidRPr="00AC63D4">
        <w:t xml:space="preserve"> prihoda tekuće godine u iznosu od </w:t>
      </w:r>
      <w:r>
        <w:t>1.147,82 eura</w:t>
      </w:r>
      <w:r w:rsidRPr="00AC63D4">
        <w:t xml:space="preserve">, koji zajedno s prenesenim </w:t>
      </w:r>
      <w:r>
        <w:t>viškom</w:t>
      </w:r>
      <w:r w:rsidRPr="00AC63D4">
        <w:t xml:space="preserve"> prihoda iz prethodne godine u iznosu od </w:t>
      </w:r>
      <w:r w:rsidRPr="00D4672A">
        <w:t xml:space="preserve">5.809,03 </w:t>
      </w:r>
      <w:r>
        <w:t>eura</w:t>
      </w:r>
      <w:r w:rsidRPr="00AC63D4">
        <w:t xml:space="preserve">, ukupno daje </w:t>
      </w:r>
      <w:r w:rsidRPr="00204D28">
        <w:rPr>
          <w:b/>
        </w:rPr>
        <w:t>višak</w:t>
      </w:r>
      <w:r w:rsidRPr="00AC63D4">
        <w:t xml:space="preserve"> prihoda i primitaka </w:t>
      </w:r>
      <w:r>
        <w:t>raspoloživ</w:t>
      </w:r>
      <w:r w:rsidRPr="00AC63D4">
        <w:t xml:space="preserve"> u sljedećem razdoblju u iznosu od </w:t>
      </w:r>
      <w:r>
        <w:rPr>
          <w:b/>
        </w:rPr>
        <w:t xml:space="preserve">4.661,21 </w:t>
      </w:r>
      <w:r w:rsidRPr="00204D28">
        <w:rPr>
          <w:b/>
        </w:rPr>
        <w:t>eura</w:t>
      </w:r>
      <w:r>
        <w:rPr>
          <w:b/>
        </w:rPr>
        <w:t>.</w:t>
      </w:r>
    </w:p>
    <w:p w:rsidR="00AE2E8F" w:rsidRDefault="00AE2E8F" w:rsidP="0076533D">
      <w:pPr>
        <w:numPr>
          <w:ilvl w:val="0"/>
          <w:numId w:val="1"/>
        </w:numPr>
      </w:pPr>
      <w:r w:rsidRPr="00AC63D4">
        <w:t xml:space="preserve">Općina Vela Luka – ostvarila je </w:t>
      </w:r>
      <w:r>
        <w:t>manjak</w:t>
      </w:r>
      <w:r w:rsidRPr="00AC63D4">
        <w:t xml:space="preserve"> prihoda i primitaka tekuće godine u iznosu od </w:t>
      </w:r>
      <w:r>
        <w:t>1.072.013,70 eura</w:t>
      </w:r>
      <w:r w:rsidRPr="00AC63D4">
        <w:t xml:space="preserve">, koji zajedno s prenesenim viškom iz prethodne godine u iznosu od </w:t>
      </w:r>
      <w:r w:rsidRPr="006215B2">
        <w:t>942.609,06</w:t>
      </w:r>
      <w:r>
        <w:rPr>
          <w:b/>
        </w:rPr>
        <w:t xml:space="preserve"> </w:t>
      </w:r>
      <w:r>
        <w:t xml:space="preserve">eura, </w:t>
      </w:r>
      <w:r w:rsidRPr="00AC63D4">
        <w:t xml:space="preserve">ukupno daje </w:t>
      </w:r>
      <w:r>
        <w:rPr>
          <w:b/>
        </w:rPr>
        <w:t>manjak</w:t>
      </w:r>
      <w:r w:rsidRPr="00AC63D4">
        <w:t xml:space="preserve"> prihoda i primitaka </w:t>
      </w:r>
      <w:r w:rsidR="008B4E97">
        <w:t>za pokriće</w:t>
      </w:r>
      <w:r w:rsidRPr="00AC63D4">
        <w:t xml:space="preserve"> u sljedećem razdoblju u iznosu od </w:t>
      </w:r>
      <w:r>
        <w:rPr>
          <w:b/>
        </w:rPr>
        <w:t>129.404,64 eura</w:t>
      </w:r>
      <w:r w:rsidRPr="00AC63D4">
        <w:t>.</w:t>
      </w:r>
    </w:p>
    <w:p w:rsidR="00AE2E8F" w:rsidRDefault="00AE2E8F" w:rsidP="00AE2E8F">
      <w:pPr>
        <w:ind w:left="720"/>
      </w:pPr>
    </w:p>
    <w:p w:rsidR="008B4E97" w:rsidRDefault="008B4E97" w:rsidP="00671A6E">
      <w:pPr>
        <w:rPr>
          <w:bCs/>
        </w:rPr>
      </w:pPr>
    </w:p>
    <w:p w:rsidR="008D5BAC" w:rsidRDefault="00AE2E8F" w:rsidP="008D5BAC">
      <w:pPr>
        <w:rPr>
          <w:bCs/>
        </w:rPr>
      </w:pPr>
      <w:r>
        <w:rPr>
          <w:bCs/>
        </w:rPr>
        <w:t>I</w:t>
      </w:r>
      <w:r w:rsidR="00342F41">
        <w:rPr>
          <w:bCs/>
        </w:rPr>
        <w:t>I</w:t>
      </w:r>
      <w:r>
        <w:rPr>
          <w:bCs/>
        </w:rPr>
        <w:t>I</w:t>
      </w:r>
      <w:r w:rsidR="00342F41">
        <w:rPr>
          <w:bCs/>
        </w:rPr>
        <w:t xml:space="preserve">. </w:t>
      </w:r>
      <w:r w:rsidR="00671A6E" w:rsidRPr="006B3D1E">
        <w:rPr>
          <w:bCs/>
        </w:rPr>
        <w:t>Pri izradi Plan</w:t>
      </w:r>
      <w:r w:rsidR="00671A6E">
        <w:rPr>
          <w:bCs/>
        </w:rPr>
        <w:t>a proračuna za 202</w:t>
      </w:r>
      <w:r w:rsidR="00685BB3">
        <w:rPr>
          <w:bCs/>
        </w:rPr>
        <w:t>6</w:t>
      </w:r>
      <w:r w:rsidR="00671A6E">
        <w:rPr>
          <w:bCs/>
        </w:rPr>
        <w:t>. godinu</w:t>
      </w:r>
      <w:r w:rsidR="00671A6E" w:rsidRPr="006B3D1E">
        <w:rPr>
          <w:bCs/>
        </w:rPr>
        <w:t xml:space="preserve">, uvrstio se u Proračun </w:t>
      </w:r>
      <w:r w:rsidR="00671A6E" w:rsidRPr="006B3D1E">
        <w:rPr>
          <w:bCs/>
          <w:u w:val="single"/>
        </w:rPr>
        <w:t>procijenjeni</w:t>
      </w:r>
      <w:r w:rsidR="00671A6E" w:rsidRPr="006B3D1E">
        <w:rPr>
          <w:bCs/>
        </w:rPr>
        <w:t xml:space="preserve"> rezultat poslovanja</w:t>
      </w:r>
      <w:r w:rsidR="00671A6E">
        <w:rPr>
          <w:bCs/>
        </w:rPr>
        <w:t xml:space="preserve"> u iznosu od </w:t>
      </w:r>
      <w:r w:rsidR="009C7961">
        <w:rPr>
          <w:bCs/>
        </w:rPr>
        <w:t>315.051</w:t>
      </w:r>
      <w:r w:rsidR="00671A6E">
        <w:rPr>
          <w:bCs/>
        </w:rPr>
        <w:t xml:space="preserve">,00 EUR (Općina </w:t>
      </w:r>
      <w:r w:rsidR="009C7961">
        <w:rPr>
          <w:bCs/>
        </w:rPr>
        <w:t>303.551</w:t>
      </w:r>
      <w:r w:rsidR="00671A6E">
        <w:rPr>
          <w:bCs/>
        </w:rPr>
        <w:t xml:space="preserve">,00 EUR + proračunski korisnici </w:t>
      </w:r>
      <w:r w:rsidR="009C7961">
        <w:rPr>
          <w:bCs/>
        </w:rPr>
        <w:t>11.500</w:t>
      </w:r>
      <w:r w:rsidR="00671A6E">
        <w:rPr>
          <w:bCs/>
        </w:rPr>
        <w:t xml:space="preserve">,00 EUR). </w:t>
      </w:r>
    </w:p>
    <w:p w:rsidR="007574FD" w:rsidRDefault="008D5BAC" w:rsidP="007574FD">
      <w:pPr>
        <w:rPr>
          <w:bCs/>
        </w:rPr>
      </w:pPr>
      <w:r>
        <w:t>Na dan 31.12.2025.</w:t>
      </w:r>
      <w:r w:rsidRPr="008D193A">
        <w:t xml:space="preserve"> </w:t>
      </w:r>
      <w:r>
        <w:t>u</w:t>
      </w:r>
      <w:r w:rsidRPr="008D193A">
        <w:t>kupno</w:t>
      </w:r>
      <w:r>
        <w:t xml:space="preserve"> je ostvaren </w:t>
      </w:r>
      <w:r>
        <w:rPr>
          <w:u w:val="single"/>
        </w:rPr>
        <w:t>manjak</w:t>
      </w:r>
      <w:r w:rsidRPr="004F5C0D">
        <w:rPr>
          <w:u w:val="single"/>
        </w:rPr>
        <w:t xml:space="preserve"> prihoda i primitaka </w:t>
      </w:r>
      <w:r>
        <w:rPr>
          <w:u w:val="single"/>
        </w:rPr>
        <w:t>za pokriće</w:t>
      </w:r>
      <w:r w:rsidRPr="004F5C0D">
        <w:rPr>
          <w:u w:val="single"/>
        </w:rPr>
        <w:t xml:space="preserve"> u sljedećem razdoblju</w:t>
      </w:r>
      <w:r>
        <w:t>, tj.u 2026</w:t>
      </w:r>
      <w:r w:rsidRPr="008D193A">
        <w:t xml:space="preserve">. godini, u iznosu od  </w:t>
      </w:r>
      <w:r>
        <w:rPr>
          <w:b/>
          <w:bCs/>
        </w:rPr>
        <w:t xml:space="preserve">115.237,22 eura </w:t>
      </w:r>
      <w:r w:rsidRPr="00DC1086">
        <w:rPr>
          <w:bCs/>
        </w:rPr>
        <w:t>(</w:t>
      </w:r>
      <w:r>
        <w:t>Manjak</w:t>
      </w:r>
      <w:r w:rsidRPr="00DC1086">
        <w:t xml:space="preserve"> Općine </w:t>
      </w:r>
      <w:r>
        <w:t>129.404,64</w:t>
      </w:r>
      <w:r w:rsidRPr="00DC1086">
        <w:t xml:space="preserve"> eura + višak proračunskih korisnika </w:t>
      </w:r>
      <w:r>
        <w:t>14.167,42</w:t>
      </w:r>
      <w:r w:rsidRPr="00DC1086">
        <w:t xml:space="preserve"> eura</w:t>
      </w:r>
      <w:r w:rsidRPr="008D5BAC">
        <w:t>), koji će se</w:t>
      </w:r>
      <w:r>
        <w:rPr>
          <w:b/>
        </w:rPr>
        <w:t xml:space="preserve"> </w:t>
      </w:r>
      <w:r w:rsidR="009C7961">
        <w:rPr>
          <w:bCs/>
        </w:rPr>
        <w:t>uvrstiti</w:t>
      </w:r>
      <w:r w:rsidR="00671A6E">
        <w:rPr>
          <w:bCs/>
        </w:rPr>
        <w:t xml:space="preserve"> u Proračun</w:t>
      </w:r>
      <w:r w:rsidR="00342F41">
        <w:rPr>
          <w:bCs/>
        </w:rPr>
        <w:t xml:space="preserve"> prvim izmjenama i dopunama </w:t>
      </w:r>
      <w:r w:rsidR="00040AB5">
        <w:rPr>
          <w:bCs/>
        </w:rPr>
        <w:t>proračuna</w:t>
      </w:r>
      <w:r w:rsidR="009C7961">
        <w:rPr>
          <w:bCs/>
        </w:rPr>
        <w:t xml:space="preserve"> u 2026. godini.</w:t>
      </w:r>
    </w:p>
    <w:p w:rsidR="008B4E97" w:rsidRDefault="008B4E97" w:rsidP="007574FD">
      <w:pPr>
        <w:rPr>
          <w:b/>
        </w:rPr>
      </w:pPr>
    </w:p>
    <w:p w:rsidR="008B4E97" w:rsidRDefault="008B4E97" w:rsidP="007574FD">
      <w:pPr>
        <w:rPr>
          <w:b/>
        </w:rPr>
      </w:pPr>
    </w:p>
    <w:p w:rsidR="008B4E97" w:rsidRDefault="008B4E97" w:rsidP="007574FD">
      <w:pPr>
        <w:rPr>
          <w:b/>
        </w:rPr>
      </w:pPr>
    </w:p>
    <w:p w:rsidR="008D5BAC" w:rsidRDefault="008D5BAC" w:rsidP="007574FD">
      <w:pPr>
        <w:rPr>
          <w:b/>
        </w:rPr>
      </w:pPr>
    </w:p>
    <w:p w:rsidR="008B4E97" w:rsidRDefault="008B4E97" w:rsidP="007574FD">
      <w:pPr>
        <w:rPr>
          <w:b/>
        </w:rPr>
      </w:pPr>
    </w:p>
    <w:p w:rsidR="00431BC9" w:rsidRDefault="00431BC9" w:rsidP="007574FD">
      <w:pPr>
        <w:rPr>
          <w:bCs/>
        </w:rPr>
      </w:pPr>
      <w:r w:rsidRPr="004354BA">
        <w:rPr>
          <w:b/>
        </w:rPr>
        <w:lastRenderedPageBreak/>
        <w:t xml:space="preserve">Tablica </w:t>
      </w:r>
      <w:r w:rsidR="008B4E97">
        <w:rPr>
          <w:b/>
        </w:rPr>
        <w:t>10</w:t>
      </w:r>
      <w:r w:rsidRPr="004354BA">
        <w:rPr>
          <w:b/>
        </w:rPr>
        <w:t>: Prikaz planiranog i ostvarenog rezultata</w:t>
      </w:r>
      <w:r w:rsidR="00AE2E8F">
        <w:rPr>
          <w:b/>
        </w:rPr>
        <w:t xml:space="preserve"> 2025./2026.</w:t>
      </w:r>
    </w:p>
    <w:p w:rsidR="004E0B1E" w:rsidRDefault="004E0B1E" w:rsidP="007574FD">
      <w:pPr>
        <w:rPr>
          <w:bCs/>
        </w:rPr>
      </w:pPr>
    </w:p>
    <w:tbl>
      <w:tblPr>
        <w:tblW w:w="10675" w:type="dxa"/>
        <w:tblInd w:w="93" w:type="dxa"/>
        <w:tblLayout w:type="fixed"/>
        <w:tblLook w:val="0000" w:firstRow="0" w:lastRow="0" w:firstColumn="0" w:lastColumn="0" w:noHBand="0" w:noVBand="0"/>
      </w:tblPr>
      <w:tblGrid>
        <w:gridCol w:w="4023"/>
        <w:gridCol w:w="1691"/>
        <w:gridCol w:w="1559"/>
        <w:gridCol w:w="1701"/>
        <w:gridCol w:w="1701"/>
      </w:tblGrid>
      <w:tr w:rsidR="004E0B1E" w:rsidRPr="007C794D" w:rsidTr="00F63E89">
        <w:trPr>
          <w:trHeight w:val="565"/>
        </w:trPr>
        <w:tc>
          <w:tcPr>
            <w:tcW w:w="4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0B1E" w:rsidRPr="007C794D" w:rsidRDefault="004E0B1E" w:rsidP="004E0B1E">
            <w:pPr>
              <w:rPr>
                <w:rFonts w:ascii="Arial" w:hAnsi="Arial" w:cs="Arial"/>
                <w:sz w:val="20"/>
                <w:szCs w:val="20"/>
              </w:rPr>
            </w:pPr>
            <w:r w:rsidRPr="007C794D">
              <w:rPr>
                <w:rFonts w:ascii="Arial" w:hAnsi="Arial" w:cs="Arial"/>
                <w:sz w:val="20"/>
                <w:szCs w:val="20"/>
              </w:rPr>
              <w:t> </w:t>
            </w:r>
          </w:p>
        </w:tc>
        <w:tc>
          <w:tcPr>
            <w:tcW w:w="1691" w:type="dxa"/>
            <w:tcBorders>
              <w:top w:val="single" w:sz="4" w:space="0" w:color="auto"/>
              <w:left w:val="nil"/>
              <w:bottom w:val="single" w:sz="4" w:space="0" w:color="auto"/>
              <w:right w:val="single" w:sz="4" w:space="0" w:color="auto"/>
            </w:tcBorders>
            <w:vAlign w:val="center"/>
          </w:tcPr>
          <w:p w:rsidR="004E0B1E" w:rsidRDefault="004E0B1E" w:rsidP="004E0B1E">
            <w:pPr>
              <w:jc w:val="center"/>
              <w:rPr>
                <w:rFonts w:ascii="Arial" w:hAnsi="Arial" w:cs="Arial"/>
                <w:sz w:val="20"/>
                <w:szCs w:val="20"/>
              </w:rPr>
            </w:pPr>
            <w:r w:rsidRPr="007C794D">
              <w:rPr>
                <w:rFonts w:ascii="Arial" w:hAnsi="Arial" w:cs="Arial"/>
                <w:sz w:val="20"/>
                <w:szCs w:val="20"/>
              </w:rPr>
              <w:t>P</w:t>
            </w:r>
            <w:r>
              <w:rPr>
                <w:rFonts w:ascii="Arial" w:hAnsi="Arial" w:cs="Arial"/>
                <w:sz w:val="20"/>
                <w:szCs w:val="20"/>
              </w:rPr>
              <w:t>LANIRANI/</w:t>
            </w:r>
          </w:p>
          <w:p w:rsidR="004E0B1E" w:rsidRPr="007C794D" w:rsidRDefault="004E0B1E" w:rsidP="004E0B1E">
            <w:pPr>
              <w:jc w:val="center"/>
              <w:rPr>
                <w:rFonts w:ascii="Arial" w:hAnsi="Arial" w:cs="Arial"/>
                <w:sz w:val="20"/>
                <w:szCs w:val="20"/>
              </w:rPr>
            </w:pPr>
            <w:r>
              <w:rPr>
                <w:rFonts w:ascii="Arial" w:hAnsi="Arial" w:cs="Arial"/>
                <w:sz w:val="20"/>
                <w:szCs w:val="20"/>
              </w:rPr>
              <w:t>PROCIJENJENI</w:t>
            </w:r>
            <w:r w:rsidRPr="007C794D">
              <w:rPr>
                <w:rFonts w:ascii="Arial" w:hAnsi="Arial" w:cs="Arial"/>
                <w:sz w:val="20"/>
                <w:szCs w:val="20"/>
              </w:rPr>
              <w:t xml:space="preserve">  </w:t>
            </w:r>
            <w:r>
              <w:rPr>
                <w:rFonts w:ascii="Arial" w:hAnsi="Arial" w:cs="Arial"/>
                <w:sz w:val="20"/>
                <w:szCs w:val="20"/>
              </w:rPr>
              <w:t>rezultat</w:t>
            </w:r>
            <w:r w:rsidRPr="007C794D">
              <w:rPr>
                <w:rFonts w:ascii="Arial" w:hAnsi="Arial" w:cs="Arial"/>
                <w:sz w:val="20"/>
                <w:szCs w:val="20"/>
              </w:rPr>
              <w:t xml:space="preserve"> </w:t>
            </w:r>
            <w:r>
              <w:rPr>
                <w:rFonts w:ascii="Arial" w:hAnsi="Arial" w:cs="Arial"/>
                <w:sz w:val="20"/>
                <w:szCs w:val="20"/>
              </w:rPr>
              <w:t>za Proračun 2025.</w:t>
            </w:r>
          </w:p>
        </w:tc>
        <w:tc>
          <w:tcPr>
            <w:tcW w:w="1559" w:type="dxa"/>
            <w:tcBorders>
              <w:top w:val="single" w:sz="4" w:space="0" w:color="auto"/>
              <w:left w:val="nil"/>
              <w:bottom w:val="single" w:sz="4" w:space="0" w:color="auto"/>
              <w:right w:val="single" w:sz="4" w:space="0" w:color="auto"/>
            </w:tcBorders>
          </w:tcPr>
          <w:p w:rsidR="004E0B1E" w:rsidRDefault="004E0B1E" w:rsidP="004E0B1E">
            <w:pPr>
              <w:jc w:val="center"/>
              <w:rPr>
                <w:rFonts w:ascii="Arial" w:hAnsi="Arial" w:cs="Arial"/>
                <w:sz w:val="20"/>
                <w:szCs w:val="20"/>
              </w:rPr>
            </w:pPr>
            <w:r>
              <w:rPr>
                <w:rFonts w:ascii="Arial" w:hAnsi="Arial" w:cs="Arial"/>
                <w:sz w:val="20"/>
                <w:szCs w:val="20"/>
              </w:rPr>
              <w:t>OSTVARENI</w:t>
            </w:r>
            <w:r w:rsidRPr="007C794D">
              <w:rPr>
                <w:rFonts w:ascii="Arial" w:hAnsi="Arial" w:cs="Arial"/>
                <w:sz w:val="20"/>
                <w:szCs w:val="20"/>
              </w:rPr>
              <w:t xml:space="preserve"> rezultat </w:t>
            </w:r>
            <w:r>
              <w:rPr>
                <w:rFonts w:ascii="Arial" w:hAnsi="Arial" w:cs="Arial"/>
                <w:sz w:val="20"/>
                <w:szCs w:val="20"/>
              </w:rPr>
              <w:t>raspoloživ u Proračunu 2025.</w:t>
            </w:r>
          </w:p>
        </w:tc>
        <w:tc>
          <w:tcPr>
            <w:tcW w:w="1701" w:type="dxa"/>
            <w:tcBorders>
              <w:top w:val="single" w:sz="4" w:space="0" w:color="auto"/>
              <w:left w:val="nil"/>
              <w:bottom w:val="single" w:sz="4" w:space="0" w:color="auto"/>
              <w:right w:val="single" w:sz="4" w:space="0" w:color="auto"/>
            </w:tcBorders>
            <w:vAlign w:val="center"/>
          </w:tcPr>
          <w:p w:rsidR="004E0B1E" w:rsidRDefault="004E0B1E" w:rsidP="004E0B1E">
            <w:pPr>
              <w:jc w:val="center"/>
              <w:rPr>
                <w:rFonts w:ascii="Arial" w:hAnsi="Arial" w:cs="Arial"/>
                <w:sz w:val="20"/>
                <w:szCs w:val="20"/>
              </w:rPr>
            </w:pPr>
            <w:r w:rsidRPr="007C794D">
              <w:rPr>
                <w:rFonts w:ascii="Arial" w:hAnsi="Arial" w:cs="Arial"/>
                <w:sz w:val="20"/>
                <w:szCs w:val="20"/>
              </w:rPr>
              <w:t>P</w:t>
            </w:r>
            <w:r>
              <w:rPr>
                <w:rFonts w:ascii="Arial" w:hAnsi="Arial" w:cs="Arial"/>
                <w:sz w:val="20"/>
                <w:szCs w:val="20"/>
              </w:rPr>
              <w:t>LANIRANI/</w:t>
            </w:r>
          </w:p>
          <w:p w:rsidR="004E0B1E" w:rsidRPr="007C794D" w:rsidRDefault="004E0B1E" w:rsidP="004E0B1E">
            <w:pPr>
              <w:jc w:val="center"/>
              <w:rPr>
                <w:rFonts w:ascii="Arial" w:hAnsi="Arial" w:cs="Arial"/>
                <w:sz w:val="20"/>
                <w:szCs w:val="20"/>
              </w:rPr>
            </w:pPr>
            <w:r>
              <w:rPr>
                <w:rFonts w:ascii="Arial" w:hAnsi="Arial" w:cs="Arial"/>
                <w:sz w:val="20"/>
                <w:szCs w:val="20"/>
              </w:rPr>
              <w:t>PROCIJENJENI</w:t>
            </w:r>
            <w:r w:rsidRPr="007C794D">
              <w:rPr>
                <w:rFonts w:ascii="Arial" w:hAnsi="Arial" w:cs="Arial"/>
                <w:sz w:val="20"/>
                <w:szCs w:val="20"/>
              </w:rPr>
              <w:t xml:space="preserve">  </w:t>
            </w:r>
            <w:r>
              <w:rPr>
                <w:rFonts w:ascii="Arial" w:hAnsi="Arial" w:cs="Arial"/>
                <w:sz w:val="20"/>
                <w:szCs w:val="20"/>
              </w:rPr>
              <w:t>rezultat</w:t>
            </w:r>
            <w:r w:rsidRPr="007C794D">
              <w:rPr>
                <w:rFonts w:ascii="Arial" w:hAnsi="Arial" w:cs="Arial"/>
                <w:sz w:val="20"/>
                <w:szCs w:val="20"/>
              </w:rPr>
              <w:t xml:space="preserve"> </w:t>
            </w:r>
            <w:r>
              <w:rPr>
                <w:rFonts w:ascii="Arial" w:hAnsi="Arial" w:cs="Arial"/>
                <w:sz w:val="20"/>
                <w:szCs w:val="20"/>
              </w:rPr>
              <w:t>za Proračun 2026.</w:t>
            </w:r>
          </w:p>
        </w:tc>
        <w:tc>
          <w:tcPr>
            <w:tcW w:w="1701" w:type="dxa"/>
            <w:tcBorders>
              <w:top w:val="single" w:sz="4" w:space="0" w:color="auto"/>
              <w:left w:val="nil"/>
              <w:bottom w:val="single" w:sz="4" w:space="0" w:color="auto"/>
              <w:right w:val="single" w:sz="4" w:space="0" w:color="auto"/>
            </w:tcBorders>
          </w:tcPr>
          <w:p w:rsidR="004E0B1E" w:rsidRDefault="004E0B1E" w:rsidP="004E0B1E">
            <w:pPr>
              <w:jc w:val="center"/>
              <w:rPr>
                <w:rFonts w:ascii="Arial" w:hAnsi="Arial" w:cs="Arial"/>
                <w:sz w:val="20"/>
                <w:szCs w:val="20"/>
              </w:rPr>
            </w:pPr>
            <w:r>
              <w:rPr>
                <w:rFonts w:ascii="Arial" w:hAnsi="Arial" w:cs="Arial"/>
                <w:sz w:val="20"/>
                <w:szCs w:val="20"/>
              </w:rPr>
              <w:t>OSTVARENI</w:t>
            </w:r>
            <w:r w:rsidRPr="007C794D">
              <w:rPr>
                <w:rFonts w:ascii="Arial" w:hAnsi="Arial" w:cs="Arial"/>
                <w:sz w:val="20"/>
                <w:szCs w:val="20"/>
              </w:rPr>
              <w:t xml:space="preserve"> rezultat </w:t>
            </w:r>
            <w:r>
              <w:rPr>
                <w:rFonts w:ascii="Arial" w:hAnsi="Arial" w:cs="Arial"/>
                <w:sz w:val="20"/>
                <w:szCs w:val="20"/>
              </w:rPr>
              <w:t>raspoloživ u Proračunu 2026.</w:t>
            </w:r>
          </w:p>
        </w:tc>
      </w:tr>
      <w:tr w:rsidR="004E0B1E" w:rsidRPr="007C794D" w:rsidTr="00F63E89">
        <w:trPr>
          <w:trHeight w:val="255"/>
        </w:trPr>
        <w:tc>
          <w:tcPr>
            <w:tcW w:w="4023" w:type="dxa"/>
            <w:tcBorders>
              <w:top w:val="nil"/>
              <w:left w:val="single" w:sz="4" w:space="0" w:color="auto"/>
              <w:bottom w:val="single" w:sz="4" w:space="0" w:color="auto"/>
              <w:right w:val="single" w:sz="4" w:space="0" w:color="auto"/>
            </w:tcBorders>
            <w:shd w:val="clear" w:color="auto" w:fill="C0C0C0"/>
            <w:noWrap/>
            <w:vAlign w:val="bottom"/>
          </w:tcPr>
          <w:p w:rsidR="004E0B1E" w:rsidRPr="007C794D" w:rsidRDefault="004E0B1E" w:rsidP="004E0B1E">
            <w:pPr>
              <w:rPr>
                <w:rFonts w:ascii="Arial" w:hAnsi="Arial" w:cs="Arial"/>
                <w:b/>
                <w:bCs/>
                <w:sz w:val="20"/>
                <w:szCs w:val="20"/>
              </w:rPr>
            </w:pPr>
            <w:r w:rsidRPr="007C794D">
              <w:rPr>
                <w:rFonts w:ascii="Arial" w:hAnsi="Arial" w:cs="Arial"/>
                <w:b/>
                <w:bCs/>
                <w:sz w:val="20"/>
                <w:szCs w:val="20"/>
              </w:rPr>
              <w:t xml:space="preserve">OPĆINA </w:t>
            </w:r>
            <w:r>
              <w:rPr>
                <w:rFonts w:ascii="Arial" w:hAnsi="Arial" w:cs="Arial"/>
                <w:b/>
                <w:bCs/>
                <w:sz w:val="20"/>
                <w:szCs w:val="20"/>
              </w:rPr>
              <w:t>VELA LUKA</w:t>
            </w:r>
            <w:r w:rsidRPr="007C794D">
              <w:rPr>
                <w:rFonts w:ascii="Arial" w:hAnsi="Arial" w:cs="Arial"/>
                <w:b/>
                <w:bCs/>
                <w:sz w:val="20"/>
                <w:szCs w:val="20"/>
              </w:rPr>
              <w:t xml:space="preserve"> </w:t>
            </w:r>
          </w:p>
        </w:tc>
        <w:tc>
          <w:tcPr>
            <w:tcW w:w="1691" w:type="dxa"/>
            <w:tcBorders>
              <w:top w:val="nil"/>
              <w:left w:val="nil"/>
              <w:bottom w:val="single" w:sz="4" w:space="0" w:color="auto"/>
              <w:right w:val="single" w:sz="4" w:space="0" w:color="auto"/>
            </w:tcBorders>
            <w:shd w:val="clear" w:color="auto" w:fill="C0C0C0"/>
            <w:noWrap/>
          </w:tcPr>
          <w:p w:rsidR="004E0B1E" w:rsidRDefault="004E0B1E" w:rsidP="004E0B1E">
            <w:pPr>
              <w:jc w:val="right"/>
              <w:rPr>
                <w:rFonts w:ascii="Arial" w:hAnsi="Arial" w:cs="Arial"/>
                <w:b/>
                <w:bCs/>
                <w:sz w:val="20"/>
                <w:szCs w:val="20"/>
              </w:rPr>
            </w:pPr>
            <w:r>
              <w:rPr>
                <w:rFonts w:ascii="Arial" w:hAnsi="Arial" w:cs="Arial"/>
                <w:b/>
                <w:bCs/>
                <w:sz w:val="20"/>
                <w:szCs w:val="20"/>
              </w:rPr>
              <w:t>813.345,00</w:t>
            </w:r>
          </w:p>
        </w:tc>
        <w:tc>
          <w:tcPr>
            <w:tcW w:w="1559" w:type="dxa"/>
            <w:tcBorders>
              <w:top w:val="nil"/>
              <w:left w:val="nil"/>
              <w:bottom w:val="single" w:sz="4" w:space="0" w:color="auto"/>
              <w:right w:val="single" w:sz="4" w:space="0" w:color="auto"/>
            </w:tcBorders>
            <w:shd w:val="clear" w:color="auto" w:fill="C0C0C0"/>
            <w:noWrap/>
          </w:tcPr>
          <w:p w:rsidR="004E0B1E" w:rsidRDefault="004E0B1E" w:rsidP="004E0B1E">
            <w:pPr>
              <w:jc w:val="right"/>
              <w:rPr>
                <w:rFonts w:ascii="Arial" w:hAnsi="Arial" w:cs="Arial"/>
                <w:b/>
                <w:bCs/>
                <w:sz w:val="20"/>
                <w:szCs w:val="20"/>
              </w:rPr>
            </w:pPr>
            <w:r>
              <w:rPr>
                <w:rFonts w:ascii="Arial" w:hAnsi="Arial" w:cs="Arial"/>
                <w:b/>
                <w:bCs/>
                <w:sz w:val="20"/>
                <w:szCs w:val="20"/>
              </w:rPr>
              <w:t>942.609,06</w:t>
            </w:r>
          </w:p>
        </w:tc>
        <w:tc>
          <w:tcPr>
            <w:tcW w:w="1701" w:type="dxa"/>
            <w:tcBorders>
              <w:top w:val="nil"/>
              <w:left w:val="nil"/>
              <w:bottom w:val="single" w:sz="4" w:space="0" w:color="auto"/>
              <w:right w:val="single" w:sz="4" w:space="0" w:color="auto"/>
            </w:tcBorders>
            <w:shd w:val="clear" w:color="auto" w:fill="C0C0C0"/>
          </w:tcPr>
          <w:p w:rsidR="004E0B1E" w:rsidRDefault="00685BB3" w:rsidP="004E0B1E">
            <w:pPr>
              <w:jc w:val="right"/>
              <w:rPr>
                <w:rFonts w:ascii="Arial" w:hAnsi="Arial" w:cs="Arial"/>
                <w:b/>
                <w:bCs/>
                <w:sz w:val="20"/>
                <w:szCs w:val="20"/>
              </w:rPr>
            </w:pPr>
            <w:r>
              <w:rPr>
                <w:rFonts w:ascii="Arial" w:hAnsi="Arial" w:cs="Arial"/>
                <w:b/>
                <w:bCs/>
                <w:sz w:val="20"/>
                <w:szCs w:val="20"/>
              </w:rPr>
              <w:t>303.551</w:t>
            </w:r>
            <w:r w:rsidR="004E0B1E">
              <w:rPr>
                <w:rFonts w:ascii="Arial" w:hAnsi="Arial" w:cs="Arial"/>
                <w:b/>
                <w:bCs/>
                <w:sz w:val="20"/>
                <w:szCs w:val="20"/>
              </w:rPr>
              <w:t>,00</w:t>
            </w:r>
          </w:p>
        </w:tc>
        <w:tc>
          <w:tcPr>
            <w:tcW w:w="1701" w:type="dxa"/>
            <w:tcBorders>
              <w:top w:val="nil"/>
              <w:left w:val="nil"/>
              <w:bottom w:val="single" w:sz="4" w:space="0" w:color="auto"/>
              <w:right w:val="single" w:sz="4" w:space="0" w:color="auto"/>
            </w:tcBorders>
            <w:shd w:val="clear" w:color="auto" w:fill="C0C0C0"/>
          </w:tcPr>
          <w:p w:rsidR="004E0B1E" w:rsidRDefault="00F63E89" w:rsidP="004E0B1E">
            <w:pPr>
              <w:jc w:val="right"/>
              <w:rPr>
                <w:rFonts w:ascii="Arial" w:hAnsi="Arial" w:cs="Arial"/>
                <w:b/>
                <w:bCs/>
                <w:sz w:val="20"/>
                <w:szCs w:val="20"/>
              </w:rPr>
            </w:pPr>
            <w:r>
              <w:rPr>
                <w:rFonts w:ascii="Arial" w:hAnsi="Arial" w:cs="Arial"/>
                <w:b/>
                <w:bCs/>
                <w:sz w:val="20"/>
                <w:szCs w:val="20"/>
              </w:rPr>
              <w:t>-129.404,64</w:t>
            </w:r>
          </w:p>
        </w:tc>
      </w:tr>
      <w:tr w:rsidR="004E0B1E" w:rsidRPr="007C794D" w:rsidTr="00F63E89">
        <w:trPr>
          <w:trHeight w:val="255"/>
        </w:trPr>
        <w:tc>
          <w:tcPr>
            <w:tcW w:w="4023" w:type="dxa"/>
            <w:tcBorders>
              <w:top w:val="nil"/>
              <w:left w:val="single" w:sz="4" w:space="0" w:color="auto"/>
              <w:bottom w:val="single" w:sz="4" w:space="0" w:color="auto"/>
              <w:right w:val="single" w:sz="4" w:space="0" w:color="auto"/>
            </w:tcBorders>
            <w:shd w:val="clear" w:color="auto" w:fill="auto"/>
            <w:noWrap/>
            <w:vAlign w:val="bottom"/>
          </w:tcPr>
          <w:p w:rsidR="004E0B1E" w:rsidRPr="007C794D" w:rsidRDefault="004E0B1E" w:rsidP="004E0B1E">
            <w:pPr>
              <w:rPr>
                <w:rFonts w:ascii="Arial" w:hAnsi="Arial" w:cs="Arial"/>
                <w:sz w:val="20"/>
                <w:szCs w:val="20"/>
              </w:rPr>
            </w:pPr>
            <w:r w:rsidRPr="007C794D">
              <w:rPr>
                <w:rFonts w:ascii="Arial" w:hAnsi="Arial" w:cs="Arial"/>
                <w:sz w:val="20"/>
                <w:szCs w:val="20"/>
              </w:rPr>
              <w:t>Višak</w:t>
            </w:r>
            <w:r w:rsidR="009C7961">
              <w:rPr>
                <w:rFonts w:ascii="Arial" w:hAnsi="Arial" w:cs="Arial"/>
                <w:sz w:val="20"/>
                <w:szCs w:val="20"/>
              </w:rPr>
              <w:t>/manjak</w:t>
            </w:r>
            <w:r w:rsidRPr="007C794D">
              <w:rPr>
                <w:rFonts w:ascii="Arial" w:hAnsi="Arial" w:cs="Arial"/>
                <w:sz w:val="20"/>
                <w:szCs w:val="20"/>
              </w:rPr>
              <w:t xml:space="preserve"> prihoda</w:t>
            </w:r>
          </w:p>
        </w:tc>
        <w:tc>
          <w:tcPr>
            <w:tcW w:w="1691" w:type="dxa"/>
            <w:tcBorders>
              <w:top w:val="nil"/>
              <w:left w:val="nil"/>
              <w:bottom w:val="single" w:sz="4" w:space="0" w:color="auto"/>
              <w:right w:val="single" w:sz="4" w:space="0" w:color="auto"/>
            </w:tcBorders>
            <w:noWrap/>
          </w:tcPr>
          <w:p w:rsidR="004E0B1E" w:rsidRDefault="004E0B1E" w:rsidP="004E0B1E">
            <w:pPr>
              <w:jc w:val="right"/>
              <w:rPr>
                <w:rFonts w:ascii="Arial" w:hAnsi="Arial" w:cs="Arial"/>
                <w:sz w:val="20"/>
                <w:szCs w:val="20"/>
              </w:rPr>
            </w:pPr>
            <w:r>
              <w:rPr>
                <w:rFonts w:ascii="Arial" w:hAnsi="Arial" w:cs="Arial"/>
                <w:sz w:val="20"/>
                <w:szCs w:val="20"/>
              </w:rPr>
              <w:t>813.345,00</w:t>
            </w:r>
          </w:p>
        </w:tc>
        <w:tc>
          <w:tcPr>
            <w:tcW w:w="1559" w:type="dxa"/>
            <w:tcBorders>
              <w:top w:val="nil"/>
              <w:left w:val="nil"/>
              <w:bottom w:val="single" w:sz="4" w:space="0" w:color="auto"/>
              <w:right w:val="single" w:sz="4" w:space="0" w:color="auto"/>
            </w:tcBorders>
            <w:noWrap/>
          </w:tcPr>
          <w:p w:rsidR="004E0B1E" w:rsidRDefault="004E0B1E" w:rsidP="004E0B1E">
            <w:pPr>
              <w:jc w:val="right"/>
              <w:rPr>
                <w:rFonts w:ascii="Arial" w:hAnsi="Arial" w:cs="Arial"/>
                <w:sz w:val="20"/>
                <w:szCs w:val="20"/>
              </w:rPr>
            </w:pPr>
            <w:r>
              <w:rPr>
                <w:rFonts w:ascii="Arial" w:hAnsi="Arial" w:cs="Arial"/>
                <w:sz w:val="20"/>
                <w:szCs w:val="20"/>
              </w:rPr>
              <w:t>942.609,06</w:t>
            </w:r>
          </w:p>
        </w:tc>
        <w:tc>
          <w:tcPr>
            <w:tcW w:w="1701" w:type="dxa"/>
            <w:tcBorders>
              <w:top w:val="nil"/>
              <w:left w:val="nil"/>
              <w:bottom w:val="single" w:sz="4" w:space="0" w:color="auto"/>
              <w:right w:val="single" w:sz="4" w:space="0" w:color="auto"/>
            </w:tcBorders>
          </w:tcPr>
          <w:p w:rsidR="004E0B1E" w:rsidRDefault="00685BB3" w:rsidP="004E0B1E">
            <w:pPr>
              <w:jc w:val="right"/>
              <w:rPr>
                <w:rFonts w:ascii="Arial" w:hAnsi="Arial" w:cs="Arial"/>
                <w:sz w:val="20"/>
                <w:szCs w:val="20"/>
              </w:rPr>
            </w:pPr>
            <w:r>
              <w:rPr>
                <w:rFonts w:ascii="Arial" w:hAnsi="Arial" w:cs="Arial"/>
                <w:sz w:val="20"/>
                <w:szCs w:val="20"/>
              </w:rPr>
              <w:t>303.551</w:t>
            </w:r>
            <w:r w:rsidR="004E0B1E">
              <w:rPr>
                <w:rFonts w:ascii="Arial" w:hAnsi="Arial" w:cs="Arial"/>
                <w:sz w:val="20"/>
                <w:szCs w:val="20"/>
              </w:rPr>
              <w:t>,00</w:t>
            </w:r>
          </w:p>
        </w:tc>
        <w:tc>
          <w:tcPr>
            <w:tcW w:w="1701" w:type="dxa"/>
            <w:tcBorders>
              <w:top w:val="nil"/>
              <w:left w:val="nil"/>
              <w:bottom w:val="single" w:sz="4" w:space="0" w:color="auto"/>
              <w:right w:val="single" w:sz="4" w:space="0" w:color="auto"/>
            </w:tcBorders>
          </w:tcPr>
          <w:p w:rsidR="004E0B1E" w:rsidRDefault="00F63E89" w:rsidP="004E0B1E">
            <w:pPr>
              <w:jc w:val="right"/>
              <w:rPr>
                <w:rFonts w:ascii="Arial" w:hAnsi="Arial" w:cs="Arial"/>
                <w:sz w:val="20"/>
                <w:szCs w:val="20"/>
              </w:rPr>
            </w:pPr>
            <w:r>
              <w:rPr>
                <w:rFonts w:ascii="Arial" w:hAnsi="Arial" w:cs="Arial"/>
                <w:sz w:val="20"/>
                <w:szCs w:val="20"/>
              </w:rPr>
              <w:t>-129.404,64</w:t>
            </w:r>
          </w:p>
        </w:tc>
      </w:tr>
      <w:tr w:rsidR="004E0B1E" w:rsidRPr="007C794D" w:rsidTr="00F63E89">
        <w:trPr>
          <w:trHeight w:val="255"/>
        </w:trPr>
        <w:tc>
          <w:tcPr>
            <w:tcW w:w="4023" w:type="dxa"/>
            <w:tcBorders>
              <w:top w:val="nil"/>
              <w:left w:val="single" w:sz="4" w:space="0" w:color="auto"/>
              <w:bottom w:val="single" w:sz="4" w:space="0" w:color="auto"/>
              <w:right w:val="single" w:sz="4" w:space="0" w:color="auto"/>
            </w:tcBorders>
            <w:shd w:val="clear" w:color="auto" w:fill="C0C0C0"/>
            <w:noWrap/>
            <w:vAlign w:val="bottom"/>
          </w:tcPr>
          <w:p w:rsidR="004E0B1E" w:rsidRPr="007C794D" w:rsidRDefault="004E0B1E" w:rsidP="004E0B1E">
            <w:pPr>
              <w:rPr>
                <w:rFonts w:ascii="Arial" w:hAnsi="Arial" w:cs="Arial"/>
                <w:b/>
                <w:bCs/>
                <w:sz w:val="20"/>
                <w:szCs w:val="20"/>
              </w:rPr>
            </w:pPr>
            <w:r w:rsidRPr="007C794D">
              <w:rPr>
                <w:rFonts w:ascii="Arial" w:hAnsi="Arial" w:cs="Arial"/>
                <w:b/>
                <w:bCs/>
                <w:sz w:val="20"/>
                <w:szCs w:val="20"/>
              </w:rPr>
              <w:t xml:space="preserve">DJEČJI VRTIĆ </w:t>
            </w:r>
            <w:r>
              <w:rPr>
                <w:rFonts w:ascii="Arial" w:hAnsi="Arial" w:cs="Arial"/>
                <w:b/>
                <w:bCs/>
                <w:sz w:val="20"/>
                <w:szCs w:val="20"/>
              </w:rPr>
              <w:t>RADOST VELA LUKA</w:t>
            </w:r>
          </w:p>
        </w:tc>
        <w:tc>
          <w:tcPr>
            <w:tcW w:w="1691" w:type="dxa"/>
            <w:tcBorders>
              <w:top w:val="nil"/>
              <w:left w:val="nil"/>
              <w:bottom w:val="single" w:sz="4" w:space="0" w:color="auto"/>
              <w:right w:val="single" w:sz="4" w:space="0" w:color="auto"/>
            </w:tcBorders>
            <w:shd w:val="clear" w:color="auto" w:fill="C0C0C0"/>
            <w:noWrap/>
          </w:tcPr>
          <w:p w:rsidR="004E0B1E" w:rsidRDefault="004E0B1E" w:rsidP="004E0B1E">
            <w:pPr>
              <w:jc w:val="right"/>
              <w:rPr>
                <w:rFonts w:ascii="Arial" w:hAnsi="Arial" w:cs="Arial"/>
                <w:b/>
                <w:bCs/>
                <w:sz w:val="20"/>
                <w:szCs w:val="20"/>
              </w:rPr>
            </w:pPr>
            <w:r>
              <w:rPr>
                <w:rFonts w:ascii="Arial" w:hAnsi="Arial" w:cs="Arial"/>
                <w:b/>
                <w:bCs/>
                <w:sz w:val="20"/>
                <w:szCs w:val="20"/>
              </w:rPr>
              <w:t>50,00</w:t>
            </w:r>
          </w:p>
        </w:tc>
        <w:tc>
          <w:tcPr>
            <w:tcW w:w="1559" w:type="dxa"/>
            <w:tcBorders>
              <w:top w:val="nil"/>
              <w:left w:val="nil"/>
              <w:bottom w:val="single" w:sz="4" w:space="0" w:color="auto"/>
              <w:right w:val="single" w:sz="4" w:space="0" w:color="auto"/>
            </w:tcBorders>
            <w:shd w:val="clear" w:color="auto" w:fill="C0C0C0"/>
            <w:noWrap/>
          </w:tcPr>
          <w:p w:rsidR="004E0B1E" w:rsidRDefault="004E0B1E" w:rsidP="004E0B1E">
            <w:pPr>
              <w:jc w:val="right"/>
              <w:rPr>
                <w:rFonts w:ascii="Arial" w:hAnsi="Arial" w:cs="Arial"/>
                <w:b/>
                <w:bCs/>
                <w:sz w:val="20"/>
                <w:szCs w:val="20"/>
              </w:rPr>
            </w:pPr>
            <w:r>
              <w:rPr>
                <w:rFonts w:ascii="Arial" w:hAnsi="Arial" w:cs="Arial"/>
                <w:b/>
                <w:bCs/>
                <w:sz w:val="20"/>
                <w:szCs w:val="20"/>
              </w:rPr>
              <w:t>5.809,03</w:t>
            </w:r>
          </w:p>
        </w:tc>
        <w:tc>
          <w:tcPr>
            <w:tcW w:w="1701" w:type="dxa"/>
            <w:tcBorders>
              <w:top w:val="nil"/>
              <w:left w:val="nil"/>
              <w:bottom w:val="single" w:sz="4" w:space="0" w:color="auto"/>
              <w:right w:val="single" w:sz="4" w:space="0" w:color="auto"/>
            </w:tcBorders>
            <w:shd w:val="clear" w:color="auto" w:fill="C0C0C0"/>
          </w:tcPr>
          <w:p w:rsidR="004E0B1E" w:rsidRDefault="004E0B1E" w:rsidP="004E0B1E">
            <w:pPr>
              <w:jc w:val="right"/>
              <w:rPr>
                <w:rFonts w:ascii="Arial" w:hAnsi="Arial" w:cs="Arial"/>
                <w:b/>
                <w:bCs/>
                <w:sz w:val="20"/>
                <w:szCs w:val="20"/>
              </w:rPr>
            </w:pPr>
            <w:r>
              <w:rPr>
                <w:rFonts w:ascii="Arial" w:hAnsi="Arial" w:cs="Arial"/>
                <w:b/>
                <w:bCs/>
                <w:sz w:val="20"/>
                <w:szCs w:val="20"/>
              </w:rPr>
              <w:t>5</w:t>
            </w:r>
            <w:r w:rsidR="00F63E89">
              <w:rPr>
                <w:rFonts w:ascii="Arial" w:hAnsi="Arial" w:cs="Arial"/>
                <w:b/>
                <w:bCs/>
                <w:sz w:val="20"/>
                <w:szCs w:val="20"/>
              </w:rPr>
              <w:t>.00</w:t>
            </w:r>
            <w:r>
              <w:rPr>
                <w:rFonts w:ascii="Arial" w:hAnsi="Arial" w:cs="Arial"/>
                <w:b/>
                <w:bCs/>
                <w:sz w:val="20"/>
                <w:szCs w:val="20"/>
              </w:rPr>
              <w:t>0,00</w:t>
            </w:r>
          </w:p>
        </w:tc>
        <w:tc>
          <w:tcPr>
            <w:tcW w:w="1701" w:type="dxa"/>
            <w:tcBorders>
              <w:top w:val="nil"/>
              <w:left w:val="nil"/>
              <w:bottom w:val="single" w:sz="4" w:space="0" w:color="auto"/>
              <w:right w:val="single" w:sz="4" w:space="0" w:color="auto"/>
            </w:tcBorders>
            <w:shd w:val="clear" w:color="auto" w:fill="C0C0C0"/>
          </w:tcPr>
          <w:p w:rsidR="004E0B1E" w:rsidRDefault="00F63E89" w:rsidP="004E0B1E">
            <w:pPr>
              <w:jc w:val="right"/>
              <w:rPr>
                <w:rFonts w:ascii="Arial" w:hAnsi="Arial" w:cs="Arial"/>
                <w:b/>
                <w:bCs/>
                <w:sz w:val="20"/>
                <w:szCs w:val="20"/>
              </w:rPr>
            </w:pPr>
            <w:r>
              <w:rPr>
                <w:rFonts w:ascii="Arial" w:hAnsi="Arial" w:cs="Arial"/>
                <w:b/>
                <w:bCs/>
                <w:sz w:val="20"/>
                <w:szCs w:val="20"/>
              </w:rPr>
              <w:t>4.661,21</w:t>
            </w:r>
          </w:p>
        </w:tc>
      </w:tr>
      <w:tr w:rsidR="004E0B1E" w:rsidRPr="007C794D" w:rsidTr="00F63E89">
        <w:trPr>
          <w:trHeight w:val="255"/>
        </w:trPr>
        <w:tc>
          <w:tcPr>
            <w:tcW w:w="4023" w:type="dxa"/>
            <w:tcBorders>
              <w:top w:val="nil"/>
              <w:left w:val="single" w:sz="4" w:space="0" w:color="auto"/>
              <w:bottom w:val="single" w:sz="4" w:space="0" w:color="auto"/>
              <w:right w:val="single" w:sz="4" w:space="0" w:color="auto"/>
            </w:tcBorders>
            <w:shd w:val="clear" w:color="auto" w:fill="auto"/>
            <w:noWrap/>
            <w:vAlign w:val="bottom"/>
          </w:tcPr>
          <w:p w:rsidR="004E0B1E" w:rsidRPr="007C794D" w:rsidRDefault="004E0B1E" w:rsidP="004E0B1E">
            <w:pPr>
              <w:rPr>
                <w:rFonts w:ascii="Arial" w:hAnsi="Arial" w:cs="Arial"/>
                <w:sz w:val="20"/>
                <w:szCs w:val="20"/>
              </w:rPr>
            </w:pPr>
            <w:r w:rsidRPr="007C794D">
              <w:rPr>
                <w:rFonts w:ascii="Arial" w:hAnsi="Arial" w:cs="Arial"/>
                <w:sz w:val="20"/>
                <w:szCs w:val="20"/>
              </w:rPr>
              <w:t>Višak</w:t>
            </w:r>
            <w:r>
              <w:rPr>
                <w:rFonts w:ascii="Arial" w:hAnsi="Arial" w:cs="Arial"/>
                <w:sz w:val="20"/>
                <w:szCs w:val="20"/>
              </w:rPr>
              <w:t xml:space="preserve"> </w:t>
            </w:r>
            <w:r w:rsidRPr="007C794D">
              <w:rPr>
                <w:rFonts w:ascii="Arial" w:hAnsi="Arial" w:cs="Arial"/>
                <w:sz w:val="20"/>
                <w:szCs w:val="20"/>
              </w:rPr>
              <w:t>prihoda poslovanja</w:t>
            </w:r>
          </w:p>
        </w:tc>
        <w:tc>
          <w:tcPr>
            <w:tcW w:w="1691" w:type="dxa"/>
            <w:tcBorders>
              <w:top w:val="nil"/>
              <w:left w:val="nil"/>
              <w:bottom w:val="single" w:sz="4" w:space="0" w:color="auto"/>
              <w:right w:val="single" w:sz="4" w:space="0" w:color="auto"/>
            </w:tcBorders>
            <w:noWrap/>
          </w:tcPr>
          <w:p w:rsidR="004E0B1E" w:rsidRDefault="004E0B1E" w:rsidP="004E0B1E">
            <w:pPr>
              <w:jc w:val="right"/>
              <w:rPr>
                <w:rFonts w:ascii="Arial" w:hAnsi="Arial" w:cs="Arial"/>
                <w:sz w:val="20"/>
                <w:szCs w:val="20"/>
              </w:rPr>
            </w:pPr>
            <w:r>
              <w:rPr>
                <w:rFonts w:ascii="Arial" w:hAnsi="Arial" w:cs="Arial"/>
                <w:sz w:val="20"/>
                <w:szCs w:val="20"/>
              </w:rPr>
              <w:t>50,00</w:t>
            </w:r>
          </w:p>
        </w:tc>
        <w:tc>
          <w:tcPr>
            <w:tcW w:w="1559" w:type="dxa"/>
            <w:tcBorders>
              <w:top w:val="nil"/>
              <w:left w:val="nil"/>
              <w:bottom w:val="single" w:sz="4" w:space="0" w:color="auto"/>
              <w:right w:val="single" w:sz="4" w:space="0" w:color="auto"/>
            </w:tcBorders>
            <w:noWrap/>
          </w:tcPr>
          <w:p w:rsidR="004E0B1E" w:rsidRDefault="004E0B1E" w:rsidP="004E0B1E">
            <w:pPr>
              <w:jc w:val="right"/>
              <w:rPr>
                <w:rFonts w:ascii="Arial" w:hAnsi="Arial" w:cs="Arial"/>
                <w:sz w:val="20"/>
                <w:szCs w:val="20"/>
              </w:rPr>
            </w:pPr>
            <w:r>
              <w:rPr>
                <w:rFonts w:ascii="Arial" w:hAnsi="Arial" w:cs="Arial"/>
                <w:sz w:val="20"/>
                <w:szCs w:val="20"/>
              </w:rPr>
              <w:t>5.809,03</w:t>
            </w:r>
          </w:p>
        </w:tc>
        <w:tc>
          <w:tcPr>
            <w:tcW w:w="1701" w:type="dxa"/>
            <w:tcBorders>
              <w:top w:val="nil"/>
              <w:left w:val="nil"/>
              <w:bottom w:val="single" w:sz="4" w:space="0" w:color="auto"/>
              <w:right w:val="single" w:sz="4" w:space="0" w:color="auto"/>
            </w:tcBorders>
          </w:tcPr>
          <w:p w:rsidR="004E0B1E" w:rsidRDefault="004E0B1E" w:rsidP="004E0B1E">
            <w:pPr>
              <w:jc w:val="right"/>
              <w:rPr>
                <w:rFonts w:ascii="Arial" w:hAnsi="Arial" w:cs="Arial"/>
                <w:sz w:val="20"/>
                <w:szCs w:val="20"/>
              </w:rPr>
            </w:pPr>
            <w:r>
              <w:rPr>
                <w:rFonts w:ascii="Arial" w:hAnsi="Arial" w:cs="Arial"/>
                <w:sz w:val="20"/>
                <w:szCs w:val="20"/>
              </w:rPr>
              <w:t>5</w:t>
            </w:r>
            <w:r w:rsidR="00F63E89">
              <w:rPr>
                <w:rFonts w:ascii="Arial" w:hAnsi="Arial" w:cs="Arial"/>
                <w:sz w:val="20"/>
                <w:szCs w:val="20"/>
              </w:rPr>
              <w:t>.00</w:t>
            </w:r>
            <w:r>
              <w:rPr>
                <w:rFonts w:ascii="Arial" w:hAnsi="Arial" w:cs="Arial"/>
                <w:sz w:val="20"/>
                <w:szCs w:val="20"/>
              </w:rPr>
              <w:t>0,00</w:t>
            </w:r>
          </w:p>
        </w:tc>
        <w:tc>
          <w:tcPr>
            <w:tcW w:w="1701" w:type="dxa"/>
            <w:tcBorders>
              <w:top w:val="nil"/>
              <w:left w:val="nil"/>
              <w:bottom w:val="single" w:sz="4" w:space="0" w:color="auto"/>
              <w:right w:val="single" w:sz="4" w:space="0" w:color="auto"/>
            </w:tcBorders>
          </w:tcPr>
          <w:p w:rsidR="004E0B1E" w:rsidRDefault="00F63E89" w:rsidP="004E0B1E">
            <w:pPr>
              <w:jc w:val="right"/>
              <w:rPr>
                <w:rFonts w:ascii="Arial" w:hAnsi="Arial" w:cs="Arial"/>
                <w:sz w:val="20"/>
                <w:szCs w:val="20"/>
              </w:rPr>
            </w:pPr>
            <w:r>
              <w:rPr>
                <w:rFonts w:ascii="Arial" w:hAnsi="Arial" w:cs="Arial"/>
                <w:sz w:val="20"/>
                <w:szCs w:val="20"/>
              </w:rPr>
              <w:t>4.661,21</w:t>
            </w:r>
          </w:p>
        </w:tc>
      </w:tr>
      <w:tr w:rsidR="004E0B1E" w:rsidRPr="007C794D" w:rsidTr="00F63E89">
        <w:trPr>
          <w:trHeight w:val="255"/>
        </w:trPr>
        <w:tc>
          <w:tcPr>
            <w:tcW w:w="4023" w:type="dxa"/>
            <w:tcBorders>
              <w:top w:val="nil"/>
              <w:left w:val="single" w:sz="4" w:space="0" w:color="auto"/>
              <w:bottom w:val="single" w:sz="4" w:space="0" w:color="auto"/>
              <w:right w:val="single" w:sz="4" w:space="0" w:color="auto"/>
            </w:tcBorders>
            <w:shd w:val="clear" w:color="auto" w:fill="C0C0C0"/>
            <w:noWrap/>
            <w:vAlign w:val="bottom"/>
          </w:tcPr>
          <w:p w:rsidR="004E0B1E" w:rsidRPr="007C794D" w:rsidRDefault="004E0B1E" w:rsidP="004E0B1E">
            <w:pPr>
              <w:rPr>
                <w:rFonts w:ascii="Arial" w:hAnsi="Arial" w:cs="Arial"/>
                <w:b/>
                <w:bCs/>
                <w:sz w:val="20"/>
                <w:szCs w:val="20"/>
              </w:rPr>
            </w:pPr>
            <w:r w:rsidRPr="007C794D">
              <w:rPr>
                <w:rFonts w:ascii="Arial" w:hAnsi="Arial" w:cs="Arial"/>
                <w:b/>
                <w:bCs/>
                <w:sz w:val="20"/>
                <w:szCs w:val="20"/>
              </w:rPr>
              <w:t xml:space="preserve">NARODNA KNJIŽNICA </w:t>
            </w:r>
            <w:r>
              <w:rPr>
                <w:rFonts w:ascii="Arial" w:hAnsi="Arial" w:cs="Arial"/>
                <w:b/>
                <w:bCs/>
                <w:sz w:val="20"/>
                <w:szCs w:val="20"/>
              </w:rPr>
              <w:t>„ŠIME VUČETIĆ“</w:t>
            </w:r>
          </w:p>
        </w:tc>
        <w:tc>
          <w:tcPr>
            <w:tcW w:w="1691" w:type="dxa"/>
            <w:tcBorders>
              <w:top w:val="nil"/>
              <w:left w:val="nil"/>
              <w:bottom w:val="single" w:sz="4" w:space="0" w:color="auto"/>
              <w:right w:val="single" w:sz="4" w:space="0" w:color="auto"/>
            </w:tcBorders>
            <w:shd w:val="clear" w:color="auto" w:fill="C0C0C0"/>
            <w:noWrap/>
          </w:tcPr>
          <w:p w:rsidR="004E0B1E" w:rsidRDefault="004E0B1E" w:rsidP="004E0B1E">
            <w:pPr>
              <w:jc w:val="right"/>
              <w:rPr>
                <w:rFonts w:ascii="Arial" w:hAnsi="Arial" w:cs="Arial"/>
                <w:b/>
                <w:bCs/>
                <w:sz w:val="20"/>
                <w:szCs w:val="20"/>
              </w:rPr>
            </w:pPr>
          </w:p>
          <w:p w:rsidR="004E0B1E" w:rsidRDefault="004E0B1E" w:rsidP="004E0B1E">
            <w:pPr>
              <w:jc w:val="right"/>
              <w:rPr>
                <w:rFonts w:ascii="Arial" w:hAnsi="Arial" w:cs="Arial"/>
                <w:b/>
                <w:bCs/>
                <w:sz w:val="20"/>
                <w:szCs w:val="20"/>
              </w:rPr>
            </w:pPr>
            <w:r>
              <w:rPr>
                <w:rFonts w:ascii="Arial" w:hAnsi="Arial" w:cs="Arial"/>
                <w:b/>
                <w:bCs/>
                <w:sz w:val="20"/>
                <w:szCs w:val="20"/>
              </w:rPr>
              <w:t>400,00</w:t>
            </w:r>
          </w:p>
        </w:tc>
        <w:tc>
          <w:tcPr>
            <w:tcW w:w="1559" w:type="dxa"/>
            <w:tcBorders>
              <w:top w:val="nil"/>
              <w:left w:val="nil"/>
              <w:bottom w:val="single" w:sz="4" w:space="0" w:color="auto"/>
              <w:right w:val="single" w:sz="4" w:space="0" w:color="auto"/>
            </w:tcBorders>
            <w:shd w:val="clear" w:color="auto" w:fill="C0C0C0"/>
            <w:noWrap/>
          </w:tcPr>
          <w:p w:rsidR="004E0B1E" w:rsidRDefault="004E0B1E" w:rsidP="004E0B1E">
            <w:pPr>
              <w:jc w:val="right"/>
              <w:rPr>
                <w:rFonts w:ascii="Arial" w:hAnsi="Arial" w:cs="Arial"/>
                <w:b/>
                <w:bCs/>
                <w:sz w:val="20"/>
                <w:szCs w:val="20"/>
              </w:rPr>
            </w:pPr>
          </w:p>
          <w:p w:rsidR="004E0B1E" w:rsidRDefault="004E0B1E" w:rsidP="004E0B1E">
            <w:pPr>
              <w:jc w:val="right"/>
              <w:rPr>
                <w:rFonts w:ascii="Arial" w:hAnsi="Arial" w:cs="Arial"/>
                <w:b/>
                <w:bCs/>
                <w:sz w:val="20"/>
                <w:szCs w:val="20"/>
              </w:rPr>
            </w:pPr>
            <w:r>
              <w:rPr>
                <w:rFonts w:ascii="Arial" w:hAnsi="Arial" w:cs="Arial"/>
                <w:b/>
                <w:bCs/>
                <w:sz w:val="20"/>
                <w:szCs w:val="20"/>
              </w:rPr>
              <w:t>753,20</w:t>
            </w:r>
          </w:p>
        </w:tc>
        <w:tc>
          <w:tcPr>
            <w:tcW w:w="1701" w:type="dxa"/>
            <w:tcBorders>
              <w:top w:val="nil"/>
              <w:left w:val="nil"/>
              <w:bottom w:val="single" w:sz="4" w:space="0" w:color="auto"/>
              <w:right w:val="single" w:sz="4" w:space="0" w:color="auto"/>
            </w:tcBorders>
            <w:shd w:val="clear" w:color="auto" w:fill="C0C0C0"/>
          </w:tcPr>
          <w:p w:rsidR="004E0B1E" w:rsidRDefault="004E0B1E" w:rsidP="004E0B1E">
            <w:pPr>
              <w:jc w:val="right"/>
              <w:rPr>
                <w:rFonts w:ascii="Arial" w:hAnsi="Arial" w:cs="Arial"/>
                <w:b/>
                <w:bCs/>
                <w:sz w:val="20"/>
                <w:szCs w:val="20"/>
              </w:rPr>
            </w:pPr>
          </w:p>
          <w:p w:rsidR="004E0B1E" w:rsidRDefault="00F63E89" w:rsidP="004E0B1E">
            <w:pPr>
              <w:jc w:val="right"/>
              <w:rPr>
                <w:rFonts w:ascii="Arial" w:hAnsi="Arial" w:cs="Arial"/>
                <w:b/>
                <w:bCs/>
                <w:sz w:val="20"/>
                <w:szCs w:val="20"/>
              </w:rPr>
            </w:pPr>
            <w:r>
              <w:rPr>
                <w:rFonts w:ascii="Arial" w:hAnsi="Arial" w:cs="Arial"/>
                <w:b/>
                <w:bCs/>
                <w:sz w:val="20"/>
                <w:szCs w:val="20"/>
              </w:rPr>
              <w:t>5</w:t>
            </w:r>
            <w:r w:rsidR="004E0B1E">
              <w:rPr>
                <w:rFonts w:ascii="Arial" w:hAnsi="Arial" w:cs="Arial"/>
                <w:b/>
                <w:bCs/>
                <w:sz w:val="20"/>
                <w:szCs w:val="20"/>
              </w:rPr>
              <w:t>00,00</w:t>
            </w:r>
          </w:p>
        </w:tc>
        <w:tc>
          <w:tcPr>
            <w:tcW w:w="1701" w:type="dxa"/>
            <w:tcBorders>
              <w:top w:val="nil"/>
              <w:left w:val="nil"/>
              <w:bottom w:val="single" w:sz="4" w:space="0" w:color="auto"/>
              <w:right w:val="single" w:sz="4" w:space="0" w:color="auto"/>
            </w:tcBorders>
            <w:shd w:val="clear" w:color="auto" w:fill="C0C0C0"/>
          </w:tcPr>
          <w:p w:rsidR="004E0B1E" w:rsidRDefault="004E0B1E" w:rsidP="004E0B1E">
            <w:pPr>
              <w:jc w:val="right"/>
              <w:rPr>
                <w:rFonts w:ascii="Arial" w:hAnsi="Arial" w:cs="Arial"/>
                <w:b/>
                <w:bCs/>
                <w:sz w:val="20"/>
                <w:szCs w:val="20"/>
              </w:rPr>
            </w:pPr>
          </w:p>
          <w:p w:rsidR="004E0B1E" w:rsidRDefault="00F63E89" w:rsidP="004E0B1E">
            <w:pPr>
              <w:jc w:val="right"/>
              <w:rPr>
                <w:rFonts w:ascii="Arial" w:hAnsi="Arial" w:cs="Arial"/>
                <w:b/>
                <w:bCs/>
                <w:sz w:val="20"/>
                <w:szCs w:val="20"/>
              </w:rPr>
            </w:pPr>
            <w:r>
              <w:rPr>
                <w:rFonts w:ascii="Arial" w:hAnsi="Arial" w:cs="Arial"/>
                <w:b/>
                <w:bCs/>
                <w:sz w:val="20"/>
                <w:szCs w:val="20"/>
              </w:rPr>
              <w:t>725,37</w:t>
            </w:r>
          </w:p>
        </w:tc>
      </w:tr>
      <w:tr w:rsidR="004E0B1E" w:rsidRPr="007C794D" w:rsidTr="00F63E89">
        <w:trPr>
          <w:trHeight w:val="255"/>
        </w:trPr>
        <w:tc>
          <w:tcPr>
            <w:tcW w:w="4023" w:type="dxa"/>
            <w:tcBorders>
              <w:top w:val="nil"/>
              <w:left w:val="single" w:sz="4" w:space="0" w:color="auto"/>
              <w:bottom w:val="single" w:sz="4" w:space="0" w:color="auto"/>
              <w:right w:val="single" w:sz="4" w:space="0" w:color="auto"/>
            </w:tcBorders>
            <w:shd w:val="clear" w:color="auto" w:fill="auto"/>
            <w:noWrap/>
            <w:vAlign w:val="bottom"/>
          </w:tcPr>
          <w:p w:rsidR="004E0B1E" w:rsidRPr="007C794D" w:rsidRDefault="004E0B1E" w:rsidP="004E0B1E">
            <w:pPr>
              <w:rPr>
                <w:rFonts w:ascii="Arial" w:hAnsi="Arial" w:cs="Arial"/>
                <w:sz w:val="20"/>
                <w:szCs w:val="20"/>
              </w:rPr>
            </w:pPr>
            <w:r w:rsidRPr="007C794D">
              <w:rPr>
                <w:rFonts w:ascii="Arial" w:hAnsi="Arial" w:cs="Arial"/>
                <w:sz w:val="20"/>
                <w:szCs w:val="20"/>
              </w:rPr>
              <w:t>Višak prihoda poslovanja</w:t>
            </w:r>
          </w:p>
        </w:tc>
        <w:tc>
          <w:tcPr>
            <w:tcW w:w="1691" w:type="dxa"/>
            <w:tcBorders>
              <w:top w:val="nil"/>
              <w:left w:val="nil"/>
              <w:bottom w:val="single" w:sz="4" w:space="0" w:color="auto"/>
              <w:right w:val="single" w:sz="4" w:space="0" w:color="auto"/>
            </w:tcBorders>
            <w:noWrap/>
          </w:tcPr>
          <w:p w:rsidR="004E0B1E" w:rsidRDefault="004E0B1E" w:rsidP="004E0B1E">
            <w:pPr>
              <w:jc w:val="right"/>
              <w:rPr>
                <w:rFonts w:ascii="Arial" w:hAnsi="Arial" w:cs="Arial"/>
                <w:sz w:val="20"/>
                <w:szCs w:val="20"/>
              </w:rPr>
            </w:pPr>
            <w:r>
              <w:rPr>
                <w:rFonts w:ascii="Arial" w:hAnsi="Arial" w:cs="Arial"/>
                <w:sz w:val="20"/>
                <w:szCs w:val="20"/>
              </w:rPr>
              <w:t>400,00</w:t>
            </w:r>
          </w:p>
        </w:tc>
        <w:tc>
          <w:tcPr>
            <w:tcW w:w="1559" w:type="dxa"/>
            <w:tcBorders>
              <w:top w:val="nil"/>
              <w:left w:val="nil"/>
              <w:bottom w:val="single" w:sz="4" w:space="0" w:color="auto"/>
              <w:right w:val="single" w:sz="4" w:space="0" w:color="auto"/>
            </w:tcBorders>
            <w:noWrap/>
          </w:tcPr>
          <w:p w:rsidR="004E0B1E" w:rsidRDefault="004E0B1E" w:rsidP="004E0B1E">
            <w:pPr>
              <w:jc w:val="right"/>
              <w:rPr>
                <w:rFonts w:ascii="Arial" w:hAnsi="Arial" w:cs="Arial"/>
                <w:sz w:val="20"/>
                <w:szCs w:val="20"/>
              </w:rPr>
            </w:pPr>
            <w:r>
              <w:rPr>
                <w:rFonts w:ascii="Arial" w:hAnsi="Arial" w:cs="Arial"/>
                <w:sz w:val="20"/>
                <w:szCs w:val="20"/>
              </w:rPr>
              <w:t>753,20</w:t>
            </w:r>
          </w:p>
        </w:tc>
        <w:tc>
          <w:tcPr>
            <w:tcW w:w="1701" w:type="dxa"/>
            <w:tcBorders>
              <w:top w:val="nil"/>
              <w:left w:val="nil"/>
              <w:bottom w:val="single" w:sz="4" w:space="0" w:color="auto"/>
              <w:right w:val="single" w:sz="4" w:space="0" w:color="auto"/>
            </w:tcBorders>
          </w:tcPr>
          <w:p w:rsidR="004E0B1E" w:rsidRDefault="00F63E89" w:rsidP="004E0B1E">
            <w:pPr>
              <w:jc w:val="right"/>
              <w:rPr>
                <w:rFonts w:ascii="Arial" w:hAnsi="Arial" w:cs="Arial"/>
                <w:sz w:val="20"/>
                <w:szCs w:val="20"/>
              </w:rPr>
            </w:pPr>
            <w:r>
              <w:rPr>
                <w:rFonts w:ascii="Arial" w:hAnsi="Arial" w:cs="Arial"/>
                <w:sz w:val="20"/>
                <w:szCs w:val="20"/>
              </w:rPr>
              <w:t>5</w:t>
            </w:r>
            <w:r w:rsidR="004E0B1E">
              <w:rPr>
                <w:rFonts w:ascii="Arial" w:hAnsi="Arial" w:cs="Arial"/>
                <w:sz w:val="20"/>
                <w:szCs w:val="20"/>
              </w:rPr>
              <w:t>00,00</w:t>
            </w:r>
          </w:p>
        </w:tc>
        <w:tc>
          <w:tcPr>
            <w:tcW w:w="1701" w:type="dxa"/>
            <w:tcBorders>
              <w:top w:val="nil"/>
              <w:left w:val="nil"/>
              <w:bottom w:val="single" w:sz="4" w:space="0" w:color="auto"/>
              <w:right w:val="single" w:sz="4" w:space="0" w:color="auto"/>
            </w:tcBorders>
          </w:tcPr>
          <w:p w:rsidR="004E0B1E" w:rsidRDefault="00F63E89" w:rsidP="004E0B1E">
            <w:pPr>
              <w:jc w:val="right"/>
              <w:rPr>
                <w:rFonts w:ascii="Arial" w:hAnsi="Arial" w:cs="Arial"/>
                <w:sz w:val="20"/>
                <w:szCs w:val="20"/>
              </w:rPr>
            </w:pPr>
            <w:r>
              <w:rPr>
                <w:rFonts w:ascii="Arial" w:hAnsi="Arial" w:cs="Arial"/>
                <w:sz w:val="20"/>
                <w:szCs w:val="20"/>
              </w:rPr>
              <w:t>725,37</w:t>
            </w:r>
          </w:p>
        </w:tc>
      </w:tr>
      <w:tr w:rsidR="004E0B1E" w:rsidRPr="007C794D" w:rsidTr="00F63E89">
        <w:trPr>
          <w:trHeight w:val="255"/>
        </w:trPr>
        <w:tc>
          <w:tcPr>
            <w:tcW w:w="4023" w:type="dxa"/>
            <w:tcBorders>
              <w:top w:val="nil"/>
              <w:left w:val="single" w:sz="4" w:space="0" w:color="auto"/>
              <w:bottom w:val="single" w:sz="4" w:space="0" w:color="auto"/>
              <w:right w:val="single" w:sz="4" w:space="0" w:color="auto"/>
            </w:tcBorders>
            <w:shd w:val="clear" w:color="auto" w:fill="C0C0C0"/>
            <w:noWrap/>
            <w:vAlign w:val="bottom"/>
          </w:tcPr>
          <w:p w:rsidR="004E0B1E" w:rsidRPr="007C794D" w:rsidRDefault="004E0B1E" w:rsidP="004E0B1E">
            <w:pPr>
              <w:rPr>
                <w:rFonts w:ascii="Arial" w:hAnsi="Arial" w:cs="Arial"/>
                <w:b/>
                <w:bCs/>
                <w:sz w:val="20"/>
                <w:szCs w:val="20"/>
              </w:rPr>
            </w:pPr>
            <w:r>
              <w:rPr>
                <w:rFonts w:ascii="Arial" w:hAnsi="Arial" w:cs="Arial"/>
                <w:b/>
                <w:bCs/>
                <w:sz w:val="20"/>
                <w:szCs w:val="20"/>
              </w:rPr>
              <w:t>CENTAR ZA KULTURU VELA LUKA</w:t>
            </w:r>
          </w:p>
        </w:tc>
        <w:tc>
          <w:tcPr>
            <w:tcW w:w="1691" w:type="dxa"/>
            <w:tcBorders>
              <w:top w:val="nil"/>
              <w:left w:val="nil"/>
              <w:bottom w:val="single" w:sz="4" w:space="0" w:color="auto"/>
              <w:right w:val="single" w:sz="4" w:space="0" w:color="auto"/>
            </w:tcBorders>
            <w:shd w:val="clear" w:color="auto" w:fill="C0C0C0"/>
            <w:noWrap/>
          </w:tcPr>
          <w:p w:rsidR="004E0B1E" w:rsidRDefault="004E0B1E" w:rsidP="004E0B1E">
            <w:pPr>
              <w:jc w:val="right"/>
              <w:rPr>
                <w:rFonts w:ascii="Arial" w:hAnsi="Arial" w:cs="Arial"/>
                <w:b/>
                <w:bCs/>
                <w:sz w:val="20"/>
                <w:szCs w:val="20"/>
              </w:rPr>
            </w:pPr>
            <w:r>
              <w:rPr>
                <w:rFonts w:ascii="Arial" w:hAnsi="Arial" w:cs="Arial"/>
                <w:b/>
                <w:bCs/>
                <w:sz w:val="20"/>
                <w:szCs w:val="20"/>
              </w:rPr>
              <w:t>5.000,00</w:t>
            </w:r>
          </w:p>
        </w:tc>
        <w:tc>
          <w:tcPr>
            <w:tcW w:w="1559" w:type="dxa"/>
            <w:tcBorders>
              <w:top w:val="nil"/>
              <w:left w:val="nil"/>
              <w:bottom w:val="single" w:sz="4" w:space="0" w:color="auto"/>
              <w:right w:val="single" w:sz="4" w:space="0" w:color="auto"/>
            </w:tcBorders>
            <w:shd w:val="clear" w:color="auto" w:fill="C0C0C0"/>
            <w:noWrap/>
          </w:tcPr>
          <w:p w:rsidR="004E0B1E" w:rsidRDefault="004E0B1E" w:rsidP="004E0B1E">
            <w:pPr>
              <w:jc w:val="right"/>
              <w:rPr>
                <w:rFonts w:ascii="Arial" w:hAnsi="Arial" w:cs="Arial"/>
                <w:b/>
                <w:bCs/>
                <w:sz w:val="20"/>
                <w:szCs w:val="20"/>
              </w:rPr>
            </w:pPr>
            <w:r>
              <w:rPr>
                <w:rFonts w:ascii="Arial" w:hAnsi="Arial" w:cs="Arial"/>
                <w:b/>
                <w:bCs/>
                <w:sz w:val="20"/>
                <w:szCs w:val="20"/>
              </w:rPr>
              <w:t>8.865,67</w:t>
            </w:r>
          </w:p>
        </w:tc>
        <w:tc>
          <w:tcPr>
            <w:tcW w:w="1701" w:type="dxa"/>
            <w:tcBorders>
              <w:top w:val="nil"/>
              <w:left w:val="nil"/>
              <w:bottom w:val="single" w:sz="4" w:space="0" w:color="auto"/>
              <w:right w:val="single" w:sz="4" w:space="0" w:color="auto"/>
            </w:tcBorders>
            <w:shd w:val="clear" w:color="auto" w:fill="C0C0C0"/>
          </w:tcPr>
          <w:p w:rsidR="004E0B1E" w:rsidRDefault="00F63E89" w:rsidP="004E0B1E">
            <w:pPr>
              <w:jc w:val="right"/>
              <w:rPr>
                <w:rFonts w:ascii="Arial" w:hAnsi="Arial" w:cs="Arial"/>
                <w:b/>
                <w:bCs/>
                <w:sz w:val="20"/>
                <w:szCs w:val="20"/>
              </w:rPr>
            </w:pPr>
            <w:r>
              <w:rPr>
                <w:rFonts w:ascii="Arial" w:hAnsi="Arial" w:cs="Arial"/>
                <w:b/>
                <w:bCs/>
                <w:sz w:val="20"/>
                <w:szCs w:val="20"/>
              </w:rPr>
              <w:t>6</w:t>
            </w:r>
            <w:r w:rsidR="004E0B1E">
              <w:rPr>
                <w:rFonts w:ascii="Arial" w:hAnsi="Arial" w:cs="Arial"/>
                <w:b/>
                <w:bCs/>
                <w:sz w:val="20"/>
                <w:szCs w:val="20"/>
              </w:rPr>
              <w:t>.000,00</w:t>
            </w:r>
          </w:p>
        </w:tc>
        <w:tc>
          <w:tcPr>
            <w:tcW w:w="1701" w:type="dxa"/>
            <w:tcBorders>
              <w:top w:val="nil"/>
              <w:left w:val="nil"/>
              <w:bottom w:val="single" w:sz="4" w:space="0" w:color="auto"/>
              <w:right w:val="single" w:sz="4" w:space="0" w:color="auto"/>
            </w:tcBorders>
            <w:shd w:val="clear" w:color="auto" w:fill="C0C0C0"/>
          </w:tcPr>
          <w:p w:rsidR="004E0B1E" w:rsidRDefault="004E0B1E" w:rsidP="004E0B1E">
            <w:pPr>
              <w:jc w:val="right"/>
              <w:rPr>
                <w:rFonts w:ascii="Arial" w:hAnsi="Arial" w:cs="Arial"/>
                <w:b/>
                <w:bCs/>
                <w:sz w:val="20"/>
                <w:szCs w:val="20"/>
              </w:rPr>
            </w:pPr>
            <w:r>
              <w:rPr>
                <w:rFonts w:ascii="Arial" w:hAnsi="Arial" w:cs="Arial"/>
                <w:b/>
                <w:bCs/>
                <w:sz w:val="20"/>
                <w:szCs w:val="20"/>
              </w:rPr>
              <w:t>8.</w:t>
            </w:r>
            <w:r w:rsidR="00F63E89">
              <w:rPr>
                <w:rFonts w:ascii="Arial" w:hAnsi="Arial" w:cs="Arial"/>
                <w:b/>
                <w:bCs/>
                <w:sz w:val="20"/>
                <w:szCs w:val="20"/>
              </w:rPr>
              <w:t>780,84</w:t>
            </w:r>
          </w:p>
        </w:tc>
      </w:tr>
      <w:tr w:rsidR="004E0B1E" w:rsidRPr="007C794D" w:rsidTr="00F63E89">
        <w:trPr>
          <w:trHeight w:val="255"/>
        </w:trPr>
        <w:tc>
          <w:tcPr>
            <w:tcW w:w="4023" w:type="dxa"/>
            <w:tcBorders>
              <w:top w:val="nil"/>
              <w:left w:val="single" w:sz="4" w:space="0" w:color="auto"/>
              <w:bottom w:val="single" w:sz="4" w:space="0" w:color="auto"/>
              <w:right w:val="single" w:sz="4" w:space="0" w:color="auto"/>
            </w:tcBorders>
            <w:shd w:val="clear" w:color="auto" w:fill="auto"/>
            <w:noWrap/>
            <w:vAlign w:val="bottom"/>
          </w:tcPr>
          <w:p w:rsidR="004E0B1E" w:rsidRPr="007C794D" w:rsidRDefault="004E0B1E" w:rsidP="004E0B1E">
            <w:pPr>
              <w:rPr>
                <w:rFonts w:ascii="Arial" w:hAnsi="Arial" w:cs="Arial"/>
                <w:sz w:val="20"/>
                <w:szCs w:val="20"/>
              </w:rPr>
            </w:pPr>
            <w:r w:rsidRPr="007C794D">
              <w:rPr>
                <w:rFonts w:ascii="Arial" w:hAnsi="Arial" w:cs="Arial"/>
                <w:sz w:val="20"/>
                <w:szCs w:val="20"/>
              </w:rPr>
              <w:t>Višak prihoda poslovanja</w:t>
            </w:r>
          </w:p>
        </w:tc>
        <w:tc>
          <w:tcPr>
            <w:tcW w:w="1691" w:type="dxa"/>
            <w:tcBorders>
              <w:top w:val="nil"/>
              <w:left w:val="nil"/>
              <w:bottom w:val="single" w:sz="4" w:space="0" w:color="auto"/>
              <w:right w:val="single" w:sz="4" w:space="0" w:color="auto"/>
            </w:tcBorders>
            <w:noWrap/>
          </w:tcPr>
          <w:p w:rsidR="004E0B1E" w:rsidRDefault="004E0B1E" w:rsidP="004E0B1E">
            <w:pPr>
              <w:jc w:val="right"/>
              <w:rPr>
                <w:rFonts w:ascii="Arial" w:hAnsi="Arial" w:cs="Arial"/>
                <w:sz w:val="20"/>
                <w:szCs w:val="20"/>
              </w:rPr>
            </w:pPr>
            <w:r>
              <w:rPr>
                <w:rFonts w:ascii="Arial" w:hAnsi="Arial" w:cs="Arial"/>
                <w:sz w:val="20"/>
                <w:szCs w:val="20"/>
              </w:rPr>
              <w:t>5.000,00</w:t>
            </w:r>
          </w:p>
        </w:tc>
        <w:tc>
          <w:tcPr>
            <w:tcW w:w="1559" w:type="dxa"/>
            <w:tcBorders>
              <w:top w:val="nil"/>
              <w:left w:val="nil"/>
              <w:bottom w:val="single" w:sz="4" w:space="0" w:color="auto"/>
              <w:right w:val="single" w:sz="4" w:space="0" w:color="auto"/>
            </w:tcBorders>
            <w:noWrap/>
          </w:tcPr>
          <w:p w:rsidR="004E0B1E" w:rsidRDefault="004E0B1E" w:rsidP="004E0B1E">
            <w:pPr>
              <w:jc w:val="right"/>
              <w:rPr>
                <w:rFonts w:ascii="Arial" w:hAnsi="Arial" w:cs="Arial"/>
                <w:sz w:val="20"/>
                <w:szCs w:val="20"/>
              </w:rPr>
            </w:pPr>
            <w:r>
              <w:rPr>
                <w:rFonts w:ascii="Arial" w:hAnsi="Arial" w:cs="Arial"/>
                <w:sz w:val="20"/>
                <w:szCs w:val="20"/>
              </w:rPr>
              <w:t>8.865,67</w:t>
            </w:r>
          </w:p>
        </w:tc>
        <w:tc>
          <w:tcPr>
            <w:tcW w:w="1701" w:type="dxa"/>
            <w:tcBorders>
              <w:top w:val="nil"/>
              <w:left w:val="nil"/>
              <w:bottom w:val="single" w:sz="4" w:space="0" w:color="auto"/>
              <w:right w:val="single" w:sz="4" w:space="0" w:color="auto"/>
            </w:tcBorders>
          </w:tcPr>
          <w:p w:rsidR="004E0B1E" w:rsidRDefault="00F63E89" w:rsidP="004E0B1E">
            <w:pPr>
              <w:jc w:val="right"/>
              <w:rPr>
                <w:rFonts w:ascii="Arial" w:hAnsi="Arial" w:cs="Arial"/>
                <w:sz w:val="20"/>
                <w:szCs w:val="20"/>
              </w:rPr>
            </w:pPr>
            <w:r>
              <w:rPr>
                <w:rFonts w:ascii="Arial" w:hAnsi="Arial" w:cs="Arial"/>
                <w:sz w:val="20"/>
                <w:szCs w:val="20"/>
              </w:rPr>
              <w:t>6</w:t>
            </w:r>
            <w:r w:rsidR="004E0B1E">
              <w:rPr>
                <w:rFonts w:ascii="Arial" w:hAnsi="Arial" w:cs="Arial"/>
                <w:sz w:val="20"/>
                <w:szCs w:val="20"/>
              </w:rPr>
              <w:t>.000,00</w:t>
            </w:r>
          </w:p>
        </w:tc>
        <w:tc>
          <w:tcPr>
            <w:tcW w:w="1701" w:type="dxa"/>
            <w:tcBorders>
              <w:top w:val="nil"/>
              <w:left w:val="nil"/>
              <w:bottom w:val="single" w:sz="4" w:space="0" w:color="auto"/>
              <w:right w:val="single" w:sz="4" w:space="0" w:color="auto"/>
            </w:tcBorders>
          </w:tcPr>
          <w:p w:rsidR="004E0B1E" w:rsidRDefault="004E0B1E" w:rsidP="004E0B1E">
            <w:pPr>
              <w:jc w:val="right"/>
              <w:rPr>
                <w:rFonts w:ascii="Arial" w:hAnsi="Arial" w:cs="Arial"/>
                <w:sz w:val="20"/>
                <w:szCs w:val="20"/>
              </w:rPr>
            </w:pPr>
            <w:r>
              <w:rPr>
                <w:rFonts w:ascii="Arial" w:hAnsi="Arial" w:cs="Arial"/>
                <w:sz w:val="20"/>
                <w:szCs w:val="20"/>
              </w:rPr>
              <w:t>8.</w:t>
            </w:r>
            <w:r w:rsidR="00F63E89">
              <w:rPr>
                <w:rFonts w:ascii="Arial" w:hAnsi="Arial" w:cs="Arial"/>
                <w:sz w:val="20"/>
                <w:szCs w:val="20"/>
              </w:rPr>
              <w:t>780,84</w:t>
            </w:r>
          </w:p>
        </w:tc>
      </w:tr>
      <w:tr w:rsidR="004E0B1E" w:rsidRPr="007C794D" w:rsidTr="00F63E89">
        <w:trPr>
          <w:trHeight w:val="255"/>
        </w:trPr>
        <w:tc>
          <w:tcPr>
            <w:tcW w:w="4023" w:type="dxa"/>
            <w:tcBorders>
              <w:top w:val="nil"/>
              <w:left w:val="single" w:sz="4" w:space="0" w:color="auto"/>
              <w:bottom w:val="single" w:sz="4" w:space="0" w:color="auto"/>
              <w:right w:val="single" w:sz="4" w:space="0" w:color="auto"/>
            </w:tcBorders>
            <w:shd w:val="clear" w:color="auto" w:fill="C0C0C0"/>
            <w:noWrap/>
            <w:vAlign w:val="bottom"/>
          </w:tcPr>
          <w:p w:rsidR="004E0B1E" w:rsidRPr="007C794D" w:rsidRDefault="004E0B1E" w:rsidP="004E0B1E">
            <w:pPr>
              <w:rPr>
                <w:rFonts w:ascii="Arial" w:hAnsi="Arial" w:cs="Arial"/>
                <w:b/>
                <w:bCs/>
                <w:sz w:val="20"/>
                <w:szCs w:val="20"/>
              </w:rPr>
            </w:pPr>
            <w:r>
              <w:rPr>
                <w:rFonts w:ascii="Arial" w:hAnsi="Arial" w:cs="Arial"/>
                <w:b/>
                <w:bCs/>
                <w:sz w:val="20"/>
                <w:szCs w:val="20"/>
              </w:rPr>
              <w:t>UKUPNO Općina i proračunski korisnici</w:t>
            </w:r>
          </w:p>
        </w:tc>
        <w:tc>
          <w:tcPr>
            <w:tcW w:w="1691" w:type="dxa"/>
            <w:tcBorders>
              <w:top w:val="nil"/>
              <w:left w:val="nil"/>
              <w:bottom w:val="single" w:sz="4" w:space="0" w:color="auto"/>
              <w:right w:val="single" w:sz="4" w:space="0" w:color="auto"/>
            </w:tcBorders>
            <w:shd w:val="clear" w:color="auto" w:fill="C0C0C0"/>
            <w:noWrap/>
          </w:tcPr>
          <w:p w:rsidR="004E0B1E" w:rsidRDefault="004E0B1E" w:rsidP="004E0B1E">
            <w:pPr>
              <w:jc w:val="right"/>
              <w:rPr>
                <w:rFonts w:ascii="Arial" w:hAnsi="Arial" w:cs="Arial"/>
                <w:b/>
                <w:bCs/>
                <w:sz w:val="20"/>
                <w:szCs w:val="20"/>
              </w:rPr>
            </w:pPr>
          </w:p>
          <w:p w:rsidR="004E0B1E" w:rsidRDefault="004E0B1E" w:rsidP="004E0B1E">
            <w:pPr>
              <w:jc w:val="right"/>
              <w:rPr>
                <w:rFonts w:ascii="Arial" w:hAnsi="Arial" w:cs="Arial"/>
                <w:b/>
                <w:bCs/>
                <w:sz w:val="20"/>
                <w:szCs w:val="20"/>
              </w:rPr>
            </w:pPr>
            <w:r>
              <w:rPr>
                <w:rFonts w:ascii="Arial" w:hAnsi="Arial" w:cs="Arial"/>
                <w:b/>
                <w:bCs/>
                <w:sz w:val="20"/>
                <w:szCs w:val="20"/>
              </w:rPr>
              <w:t>818.795,00</w:t>
            </w:r>
          </w:p>
        </w:tc>
        <w:tc>
          <w:tcPr>
            <w:tcW w:w="1559" w:type="dxa"/>
            <w:tcBorders>
              <w:top w:val="nil"/>
              <w:left w:val="nil"/>
              <w:bottom w:val="single" w:sz="4" w:space="0" w:color="auto"/>
              <w:right w:val="single" w:sz="4" w:space="0" w:color="auto"/>
            </w:tcBorders>
            <w:shd w:val="clear" w:color="auto" w:fill="C0C0C0"/>
            <w:noWrap/>
          </w:tcPr>
          <w:p w:rsidR="004E0B1E" w:rsidRDefault="004E0B1E" w:rsidP="004E0B1E">
            <w:pPr>
              <w:jc w:val="right"/>
              <w:rPr>
                <w:rFonts w:ascii="Arial" w:hAnsi="Arial" w:cs="Arial"/>
                <w:b/>
                <w:bCs/>
                <w:sz w:val="20"/>
                <w:szCs w:val="20"/>
              </w:rPr>
            </w:pPr>
          </w:p>
          <w:p w:rsidR="004E0B1E" w:rsidRDefault="004E0B1E" w:rsidP="004E0B1E">
            <w:pPr>
              <w:jc w:val="right"/>
              <w:rPr>
                <w:rFonts w:ascii="Arial" w:hAnsi="Arial" w:cs="Arial"/>
                <w:b/>
                <w:bCs/>
                <w:sz w:val="20"/>
                <w:szCs w:val="20"/>
              </w:rPr>
            </w:pPr>
            <w:r>
              <w:rPr>
                <w:rFonts w:ascii="Arial" w:hAnsi="Arial" w:cs="Arial"/>
                <w:b/>
                <w:bCs/>
                <w:sz w:val="20"/>
                <w:szCs w:val="20"/>
              </w:rPr>
              <w:t>958.036,96</w:t>
            </w:r>
          </w:p>
        </w:tc>
        <w:tc>
          <w:tcPr>
            <w:tcW w:w="1701" w:type="dxa"/>
            <w:tcBorders>
              <w:top w:val="nil"/>
              <w:left w:val="nil"/>
              <w:bottom w:val="single" w:sz="4" w:space="0" w:color="auto"/>
              <w:right w:val="single" w:sz="4" w:space="0" w:color="auto"/>
            </w:tcBorders>
            <w:shd w:val="clear" w:color="auto" w:fill="C0C0C0"/>
          </w:tcPr>
          <w:p w:rsidR="004E0B1E" w:rsidRDefault="004E0B1E" w:rsidP="004E0B1E">
            <w:pPr>
              <w:jc w:val="right"/>
              <w:rPr>
                <w:rFonts w:ascii="Arial" w:hAnsi="Arial" w:cs="Arial"/>
                <w:b/>
                <w:bCs/>
                <w:sz w:val="20"/>
                <w:szCs w:val="20"/>
              </w:rPr>
            </w:pPr>
          </w:p>
          <w:p w:rsidR="004E0B1E" w:rsidRDefault="00685BB3" w:rsidP="004E0B1E">
            <w:pPr>
              <w:jc w:val="right"/>
              <w:rPr>
                <w:rFonts w:ascii="Arial" w:hAnsi="Arial" w:cs="Arial"/>
                <w:b/>
                <w:bCs/>
                <w:sz w:val="20"/>
                <w:szCs w:val="20"/>
              </w:rPr>
            </w:pPr>
            <w:r>
              <w:rPr>
                <w:rFonts w:ascii="Arial" w:hAnsi="Arial" w:cs="Arial"/>
                <w:b/>
                <w:bCs/>
                <w:sz w:val="20"/>
                <w:szCs w:val="20"/>
              </w:rPr>
              <w:t>315.051</w:t>
            </w:r>
            <w:r w:rsidR="004E0B1E">
              <w:rPr>
                <w:rFonts w:ascii="Arial" w:hAnsi="Arial" w:cs="Arial"/>
                <w:b/>
                <w:bCs/>
                <w:sz w:val="20"/>
                <w:szCs w:val="20"/>
              </w:rPr>
              <w:t>,00</w:t>
            </w:r>
          </w:p>
        </w:tc>
        <w:tc>
          <w:tcPr>
            <w:tcW w:w="1701" w:type="dxa"/>
            <w:tcBorders>
              <w:top w:val="nil"/>
              <w:left w:val="nil"/>
              <w:bottom w:val="single" w:sz="4" w:space="0" w:color="auto"/>
              <w:right w:val="single" w:sz="4" w:space="0" w:color="auto"/>
            </w:tcBorders>
            <w:shd w:val="clear" w:color="auto" w:fill="C0C0C0"/>
          </w:tcPr>
          <w:p w:rsidR="004E0B1E" w:rsidRDefault="004E0B1E" w:rsidP="004E0B1E">
            <w:pPr>
              <w:jc w:val="right"/>
              <w:rPr>
                <w:rFonts w:ascii="Arial" w:hAnsi="Arial" w:cs="Arial"/>
                <w:b/>
                <w:bCs/>
                <w:sz w:val="20"/>
                <w:szCs w:val="20"/>
              </w:rPr>
            </w:pPr>
          </w:p>
          <w:p w:rsidR="004E0B1E" w:rsidRDefault="00F63E89" w:rsidP="004E0B1E">
            <w:pPr>
              <w:jc w:val="right"/>
              <w:rPr>
                <w:rFonts w:ascii="Arial" w:hAnsi="Arial" w:cs="Arial"/>
                <w:b/>
                <w:bCs/>
                <w:sz w:val="20"/>
                <w:szCs w:val="20"/>
              </w:rPr>
            </w:pPr>
            <w:r>
              <w:rPr>
                <w:rFonts w:ascii="Arial" w:hAnsi="Arial" w:cs="Arial"/>
                <w:b/>
                <w:bCs/>
                <w:sz w:val="20"/>
                <w:szCs w:val="20"/>
              </w:rPr>
              <w:t>-115.237,22</w:t>
            </w:r>
          </w:p>
        </w:tc>
      </w:tr>
    </w:tbl>
    <w:p w:rsidR="00B43F90" w:rsidRDefault="00B43F90" w:rsidP="00040AB5">
      <w:pPr>
        <w:rPr>
          <w:u w:val="single"/>
        </w:rPr>
      </w:pPr>
    </w:p>
    <w:p w:rsidR="004706CA" w:rsidRPr="004354BA" w:rsidRDefault="004354BA" w:rsidP="004706CA">
      <w:pPr>
        <w:rPr>
          <w:b/>
        </w:rPr>
      </w:pPr>
      <w:r w:rsidRPr="004354BA">
        <w:rPr>
          <w:b/>
        </w:rPr>
        <w:t xml:space="preserve">Tablica </w:t>
      </w:r>
      <w:r w:rsidR="001F7C53">
        <w:rPr>
          <w:b/>
        </w:rPr>
        <w:t>11</w:t>
      </w:r>
      <w:r w:rsidRPr="004354BA">
        <w:rPr>
          <w:b/>
        </w:rPr>
        <w:t xml:space="preserve">: </w:t>
      </w:r>
      <w:r w:rsidR="001F7C53">
        <w:rPr>
          <w:b/>
        </w:rPr>
        <w:t>M</w:t>
      </w:r>
      <w:r w:rsidR="00685BB3">
        <w:rPr>
          <w:b/>
        </w:rPr>
        <w:t>anjak</w:t>
      </w:r>
      <w:r w:rsidR="004706CA" w:rsidRPr="004354BA">
        <w:rPr>
          <w:b/>
        </w:rPr>
        <w:t xml:space="preserve"> prihoda</w:t>
      </w:r>
      <w:r w:rsidR="00AE2E8F">
        <w:rPr>
          <w:b/>
        </w:rPr>
        <w:t xml:space="preserve"> za pokriće u 2026. godini,</w:t>
      </w:r>
      <w:r w:rsidR="004706CA" w:rsidRPr="004354BA">
        <w:rPr>
          <w:b/>
        </w:rPr>
        <w:t xml:space="preserve"> raščlanjen prema izvorima financiranja</w:t>
      </w:r>
    </w:p>
    <w:p w:rsidR="004706CA" w:rsidRDefault="004706CA" w:rsidP="004706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140"/>
      </w:tblGrid>
      <w:tr w:rsidR="004706CA" w:rsidRPr="00092C58" w:rsidTr="00AE2E8F">
        <w:tc>
          <w:tcPr>
            <w:tcW w:w="5778" w:type="dxa"/>
          </w:tcPr>
          <w:p w:rsidR="004706CA" w:rsidRPr="00092C58" w:rsidRDefault="004706CA" w:rsidP="00A44ADC">
            <w:pPr>
              <w:rPr>
                <w:b/>
              </w:rPr>
            </w:pPr>
            <w:r w:rsidRPr="00092C58">
              <w:rPr>
                <w:b/>
              </w:rPr>
              <w:t>Izvor financiranja</w:t>
            </w:r>
          </w:p>
        </w:tc>
        <w:tc>
          <w:tcPr>
            <w:tcW w:w="4140" w:type="dxa"/>
          </w:tcPr>
          <w:p w:rsidR="004706CA" w:rsidRPr="00092C58" w:rsidRDefault="00AE2E8F" w:rsidP="00A44ADC">
            <w:pPr>
              <w:jc w:val="right"/>
              <w:rPr>
                <w:b/>
              </w:rPr>
            </w:pPr>
            <w:r>
              <w:rPr>
                <w:b/>
              </w:rPr>
              <w:t xml:space="preserve">31.12.25. </w:t>
            </w:r>
            <w:r w:rsidR="009C7961">
              <w:rPr>
                <w:b/>
              </w:rPr>
              <w:t>Manjak prihoda</w:t>
            </w:r>
            <w:r w:rsidR="004706CA">
              <w:rPr>
                <w:b/>
              </w:rPr>
              <w:t xml:space="preserve"> u eurima</w:t>
            </w:r>
            <w:r w:rsidR="004706CA" w:rsidRPr="00092C58">
              <w:rPr>
                <w:b/>
              </w:rPr>
              <w:t xml:space="preserve"> </w:t>
            </w:r>
          </w:p>
        </w:tc>
      </w:tr>
      <w:tr w:rsidR="004706CA" w:rsidRPr="00B97EEE" w:rsidTr="00AE2E8F">
        <w:tc>
          <w:tcPr>
            <w:tcW w:w="5778" w:type="dxa"/>
          </w:tcPr>
          <w:p w:rsidR="004706CA" w:rsidRPr="00B97EEE" w:rsidRDefault="004706CA" w:rsidP="00A44ADC">
            <w:r>
              <w:t>1.2. Opći prihodi i primici</w:t>
            </w:r>
          </w:p>
        </w:tc>
        <w:tc>
          <w:tcPr>
            <w:tcW w:w="4140" w:type="dxa"/>
          </w:tcPr>
          <w:p w:rsidR="004706CA" w:rsidRPr="00B97EEE" w:rsidRDefault="009C7961" w:rsidP="00A44ADC">
            <w:pPr>
              <w:jc w:val="right"/>
            </w:pPr>
            <w:r>
              <w:t>-147.579,37</w:t>
            </w:r>
          </w:p>
        </w:tc>
      </w:tr>
      <w:tr w:rsidR="004706CA" w:rsidRPr="00B97EEE" w:rsidTr="00AE2E8F">
        <w:tc>
          <w:tcPr>
            <w:tcW w:w="5778" w:type="dxa"/>
          </w:tcPr>
          <w:p w:rsidR="004706CA" w:rsidRDefault="004706CA" w:rsidP="00A44ADC">
            <w:r>
              <w:t>5.6. Pomoći EU- Projekt Zaželi</w:t>
            </w:r>
          </w:p>
        </w:tc>
        <w:tc>
          <w:tcPr>
            <w:tcW w:w="4140" w:type="dxa"/>
          </w:tcPr>
          <w:p w:rsidR="004706CA" w:rsidRDefault="00270970" w:rsidP="00A44ADC">
            <w:pPr>
              <w:jc w:val="right"/>
            </w:pPr>
            <w:r>
              <w:t>11.774,73</w:t>
            </w:r>
          </w:p>
        </w:tc>
      </w:tr>
      <w:tr w:rsidR="004706CA" w:rsidRPr="00B97EEE" w:rsidTr="00AE2E8F">
        <w:tc>
          <w:tcPr>
            <w:tcW w:w="5778" w:type="dxa"/>
          </w:tcPr>
          <w:p w:rsidR="004706CA" w:rsidRPr="00B97EEE" w:rsidRDefault="004706CA" w:rsidP="00A44ADC">
            <w:r>
              <w:t>6.1. Donacije</w:t>
            </w:r>
          </w:p>
        </w:tc>
        <w:tc>
          <w:tcPr>
            <w:tcW w:w="4140" w:type="dxa"/>
          </w:tcPr>
          <w:p w:rsidR="004706CA" w:rsidRDefault="00270970" w:rsidP="00A44ADC">
            <w:pPr>
              <w:jc w:val="right"/>
            </w:pPr>
            <w:r>
              <w:t>6</w:t>
            </w:r>
            <w:r w:rsidR="004706CA">
              <w:t>.</w:t>
            </w:r>
            <w:r>
              <w:t>4</w:t>
            </w:r>
            <w:r w:rsidR="004706CA">
              <w:t>00,00</w:t>
            </w:r>
          </w:p>
        </w:tc>
      </w:tr>
      <w:tr w:rsidR="004706CA" w:rsidRPr="00994ACD" w:rsidTr="00AE2E8F">
        <w:tc>
          <w:tcPr>
            <w:tcW w:w="5778" w:type="dxa"/>
          </w:tcPr>
          <w:p w:rsidR="004706CA" w:rsidRPr="00994ACD" w:rsidRDefault="004706CA" w:rsidP="00A44ADC">
            <w:pPr>
              <w:jc w:val="right"/>
              <w:rPr>
                <w:b/>
              </w:rPr>
            </w:pPr>
            <w:r w:rsidRPr="00994ACD">
              <w:rPr>
                <w:b/>
              </w:rPr>
              <w:t>OPĆINA - UKUPNO</w:t>
            </w:r>
          </w:p>
        </w:tc>
        <w:tc>
          <w:tcPr>
            <w:tcW w:w="4140" w:type="dxa"/>
          </w:tcPr>
          <w:p w:rsidR="004706CA" w:rsidRPr="00994ACD" w:rsidRDefault="00270970" w:rsidP="00A44ADC">
            <w:pPr>
              <w:jc w:val="right"/>
              <w:rPr>
                <w:b/>
              </w:rPr>
            </w:pPr>
            <w:r>
              <w:rPr>
                <w:b/>
              </w:rPr>
              <w:t>-129.404,64</w:t>
            </w:r>
          </w:p>
        </w:tc>
      </w:tr>
      <w:tr w:rsidR="004706CA" w:rsidRPr="00B97EEE" w:rsidTr="00AE2E8F">
        <w:tc>
          <w:tcPr>
            <w:tcW w:w="5778" w:type="dxa"/>
          </w:tcPr>
          <w:p w:rsidR="004706CA" w:rsidRDefault="004706CA" w:rsidP="00A44ADC">
            <w:r>
              <w:t xml:space="preserve">4.9. Prihodi za posebne namjene - Preneseni višak </w:t>
            </w:r>
            <w:r w:rsidRPr="00994ACD">
              <w:rPr>
                <w:u w:val="single"/>
              </w:rPr>
              <w:t>proračunskih korisnika</w:t>
            </w:r>
          </w:p>
        </w:tc>
        <w:tc>
          <w:tcPr>
            <w:tcW w:w="4140" w:type="dxa"/>
          </w:tcPr>
          <w:p w:rsidR="004706CA" w:rsidRDefault="00685BB3" w:rsidP="00A44ADC">
            <w:pPr>
              <w:jc w:val="right"/>
            </w:pPr>
            <w:r>
              <w:t>14.</w:t>
            </w:r>
            <w:r w:rsidR="00270970">
              <w:t>167,42</w:t>
            </w:r>
          </w:p>
        </w:tc>
      </w:tr>
      <w:tr w:rsidR="004706CA" w:rsidRPr="00994ACD" w:rsidTr="00AE2E8F">
        <w:tc>
          <w:tcPr>
            <w:tcW w:w="5778" w:type="dxa"/>
          </w:tcPr>
          <w:p w:rsidR="004706CA" w:rsidRPr="00994ACD" w:rsidRDefault="004706CA" w:rsidP="00A44ADC">
            <w:pPr>
              <w:jc w:val="right"/>
              <w:rPr>
                <w:b/>
              </w:rPr>
            </w:pPr>
            <w:r w:rsidRPr="00994ACD">
              <w:rPr>
                <w:b/>
              </w:rPr>
              <w:t>UKUPNO</w:t>
            </w:r>
          </w:p>
        </w:tc>
        <w:tc>
          <w:tcPr>
            <w:tcW w:w="4140" w:type="dxa"/>
          </w:tcPr>
          <w:p w:rsidR="004706CA" w:rsidRPr="00994ACD" w:rsidRDefault="00270970" w:rsidP="00A44ADC">
            <w:pPr>
              <w:jc w:val="right"/>
              <w:rPr>
                <w:b/>
              </w:rPr>
            </w:pPr>
            <w:r>
              <w:rPr>
                <w:b/>
              </w:rPr>
              <w:t>-115.237,22</w:t>
            </w:r>
          </w:p>
        </w:tc>
      </w:tr>
    </w:tbl>
    <w:p w:rsidR="00B43F90" w:rsidRDefault="00B43F90" w:rsidP="00040AB5">
      <w:pPr>
        <w:rPr>
          <w:u w:val="single"/>
        </w:rPr>
      </w:pPr>
    </w:p>
    <w:p w:rsidR="00B7787B" w:rsidRPr="004354BA" w:rsidRDefault="00C720A5" w:rsidP="00AF3DA5">
      <w:r w:rsidRPr="00213912">
        <w:rPr>
          <w:u w:val="single"/>
        </w:rPr>
        <w:t>I</w:t>
      </w:r>
      <w:r w:rsidR="00B7787B" w:rsidRPr="00213912">
        <w:rPr>
          <w:u w:val="single"/>
        </w:rPr>
        <w:t>V</w:t>
      </w:r>
      <w:r w:rsidRPr="00213912">
        <w:rPr>
          <w:u w:val="single"/>
        </w:rPr>
        <w:t>. Prijenosi proračunskim korisnicima iz nadležnog proračuna</w:t>
      </w:r>
    </w:p>
    <w:p w:rsidR="00213912" w:rsidRDefault="00B7787B" w:rsidP="00213912">
      <w:r w:rsidRPr="0047383A">
        <w:t xml:space="preserve">U </w:t>
      </w:r>
      <w:r>
        <w:t>2025. godini</w:t>
      </w:r>
      <w:r w:rsidRPr="0047383A">
        <w:t xml:space="preserve"> je iz općinskog proračuna ukupno uplaćeno proračunskim korisnicima </w:t>
      </w:r>
      <w:r>
        <w:t xml:space="preserve">706.604,73 </w:t>
      </w:r>
      <w:r w:rsidRPr="0047383A">
        <w:t xml:space="preserve">EUR, a u </w:t>
      </w:r>
      <w:r w:rsidR="001F7C53">
        <w:t>2024.</w:t>
      </w:r>
      <w:r w:rsidRPr="0047383A">
        <w:t xml:space="preserve"> godini </w:t>
      </w:r>
      <w:r>
        <w:t xml:space="preserve">536.743,20 </w:t>
      </w:r>
      <w:r w:rsidRPr="0047383A">
        <w:t>EUR</w:t>
      </w:r>
      <w:r>
        <w:t>, što znači da se je na međugodišnjoj razini povećalo financiranje proračunskih korisnika za 31,6</w:t>
      </w:r>
      <w:r w:rsidR="005F5E02">
        <w:t>5</w:t>
      </w:r>
      <w:r>
        <w:t>%.</w:t>
      </w:r>
      <w:r w:rsidR="00213912" w:rsidRPr="00213912">
        <w:t xml:space="preserve"> </w:t>
      </w:r>
      <w:r w:rsidR="00213912">
        <w:t>Razlog povećanja je rast plaća i broja zaposlenih kod proračunskih korisnika</w:t>
      </w:r>
      <w:r w:rsidR="001F7C53">
        <w:t>.</w:t>
      </w:r>
    </w:p>
    <w:p w:rsidR="00AF3DA5" w:rsidRDefault="00AF3DA5" w:rsidP="00AF3DA5"/>
    <w:p w:rsidR="004354BA" w:rsidRPr="00AC3F71" w:rsidRDefault="004354BA" w:rsidP="00AF3DA5">
      <w:pPr>
        <w:rPr>
          <w:b/>
        </w:rPr>
      </w:pPr>
      <w:r w:rsidRPr="00AC3F71">
        <w:rPr>
          <w:b/>
        </w:rPr>
        <w:t xml:space="preserve">Tablica </w:t>
      </w:r>
      <w:r w:rsidR="001F7C53">
        <w:rPr>
          <w:b/>
        </w:rPr>
        <w:t>12</w:t>
      </w:r>
      <w:r w:rsidRPr="00AC3F71">
        <w:rPr>
          <w:b/>
        </w:rPr>
        <w:t xml:space="preserve">: </w:t>
      </w:r>
      <w:r w:rsidR="00AC3F71" w:rsidRPr="00AC3F71">
        <w:rPr>
          <w:b/>
        </w:rPr>
        <w:t>Prikaz financiranja proračunskih korisnika iz općinskog proračuna u 2024. i 2025. godini</w:t>
      </w:r>
    </w:p>
    <w:p w:rsidR="004354BA" w:rsidRDefault="004354BA" w:rsidP="00AF3DA5"/>
    <w:tbl>
      <w:tblPr>
        <w:tblStyle w:val="TableGrid"/>
        <w:tblW w:w="0" w:type="auto"/>
        <w:tblLook w:val="04A0" w:firstRow="1" w:lastRow="0" w:firstColumn="1" w:lastColumn="0" w:noHBand="0" w:noVBand="1"/>
      </w:tblPr>
      <w:tblGrid>
        <w:gridCol w:w="2376"/>
        <w:gridCol w:w="1565"/>
        <w:gridCol w:w="1971"/>
        <w:gridCol w:w="1284"/>
      </w:tblGrid>
      <w:tr w:rsidR="00AF3DA5" w:rsidTr="006825EE">
        <w:tc>
          <w:tcPr>
            <w:tcW w:w="2376" w:type="dxa"/>
          </w:tcPr>
          <w:p w:rsidR="00AF3DA5" w:rsidRDefault="00213912" w:rsidP="006825EE">
            <w:r>
              <w:t>Proračunski korisnik</w:t>
            </w:r>
          </w:p>
        </w:tc>
        <w:tc>
          <w:tcPr>
            <w:tcW w:w="1565" w:type="dxa"/>
          </w:tcPr>
          <w:p w:rsidR="00AF3DA5" w:rsidRDefault="00AF3DA5" w:rsidP="006825EE">
            <w:pPr>
              <w:jc w:val="right"/>
            </w:pPr>
            <w:r>
              <w:t>01-</w:t>
            </w:r>
            <w:r w:rsidR="00B7787B">
              <w:t>12</w:t>
            </w:r>
            <w:r>
              <w:t xml:space="preserve">/2024. </w:t>
            </w:r>
          </w:p>
        </w:tc>
        <w:tc>
          <w:tcPr>
            <w:tcW w:w="1971" w:type="dxa"/>
          </w:tcPr>
          <w:p w:rsidR="00AF3DA5" w:rsidRDefault="00AF3DA5" w:rsidP="006825EE">
            <w:pPr>
              <w:jc w:val="right"/>
            </w:pPr>
            <w:r>
              <w:t>01-</w:t>
            </w:r>
            <w:r w:rsidR="00B7787B">
              <w:t>12</w:t>
            </w:r>
            <w:r>
              <w:t xml:space="preserve">/2025. </w:t>
            </w:r>
          </w:p>
        </w:tc>
        <w:tc>
          <w:tcPr>
            <w:tcW w:w="1284" w:type="dxa"/>
          </w:tcPr>
          <w:p w:rsidR="00AF3DA5" w:rsidRDefault="00AF3DA5" w:rsidP="006825EE">
            <w:pPr>
              <w:jc w:val="center"/>
            </w:pPr>
            <w:r>
              <w:t>Indeks 2/1</w:t>
            </w:r>
          </w:p>
        </w:tc>
      </w:tr>
      <w:tr w:rsidR="00AF3DA5" w:rsidTr="006825EE">
        <w:tc>
          <w:tcPr>
            <w:tcW w:w="2376" w:type="dxa"/>
          </w:tcPr>
          <w:p w:rsidR="00AF3DA5" w:rsidRDefault="00AF3DA5" w:rsidP="006825EE"/>
        </w:tc>
        <w:tc>
          <w:tcPr>
            <w:tcW w:w="1565" w:type="dxa"/>
          </w:tcPr>
          <w:p w:rsidR="00AF3DA5" w:rsidRDefault="00AF3DA5" w:rsidP="006825EE">
            <w:pPr>
              <w:jc w:val="center"/>
            </w:pPr>
            <w:r>
              <w:t>1.</w:t>
            </w:r>
          </w:p>
        </w:tc>
        <w:tc>
          <w:tcPr>
            <w:tcW w:w="1971" w:type="dxa"/>
          </w:tcPr>
          <w:p w:rsidR="00AF3DA5" w:rsidRDefault="00AF3DA5" w:rsidP="006825EE">
            <w:pPr>
              <w:jc w:val="center"/>
            </w:pPr>
            <w:r>
              <w:t>2.</w:t>
            </w:r>
          </w:p>
        </w:tc>
        <w:tc>
          <w:tcPr>
            <w:tcW w:w="1284" w:type="dxa"/>
          </w:tcPr>
          <w:p w:rsidR="00AF3DA5" w:rsidRDefault="00AF3DA5" w:rsidP="006825EE">
            <w:pPr>
              <w:jc w:val="center"/>
            </w:pPr>
            <w:r>
              <w:t>3.</w:t>
            </w:r>
          </w:p>
        </w:tc>
      </w:tr>
      <w:tr w:rsidR="00AF3DA5" w:rsidTr="006825EE">
        <w:tc>
          <w:tcPr>
            <w:tcW w:w="2376" w:type="dxa"/>
          </w:tcPr>
          <w:p w:rsidR="00AF3DA5" w:rsidRDefault="00AF3DA5" w:rsidP="006825EE">
            <w:r>
              <w:t xml:space="preserve">DV RADOST </w:t>
            </w:r>
          </w:p>
        </w:tc>
        <w:tc>
          <w:tcPr>
            <w:tcW w:w="1565" w:type="dxa"/>
          </w:tcPr>
          <w:p w:rsidR="00AF3DA5" w:rsidRDefault="0053535E" w:rsidP="006825EE">
            <w:pPr>
              <w:jc w:val="right"/>
            </w:pPr>
            <w:r>
              <w:t>353.879,07</w:t>
            </w:r>
          </w:p>
        </w:tc>
        <w:tc>
          <w:tcPr>
            <w:tcW w:w="1971" w:type="dxa"/>
          </w:tcPr>
          <w:p w:rsidR="00AF3DA5" w:rsidRDefault="0053535E" w:rsidP="006825EE">
            <w:pPr>
              <w:jc w:val="right"/>
            </w:pPr>
            <w:r>
              <w:t>494.547,67</w:t>
            </w:r>
          </w:p>
        </w:tc>
        <w:tc>
          <w:tcPr>
            <w:tcW w:w="1284" w:type="dxa"/>
          </w:tcPr>
          <w:p w:rsidR="00AF3DA5" w:rsidRDefault="00AF3DA5" w:rsidP="006825EE">
            <w:pPr>
              <w:jc w:val="center"/>
            </w:pPr>
            <w:r>
              <w:t>13</w:t>
            </w:r>
            <w:r w:rsidR="005F5E02">
              <w:t>9,75</w:t>
            </w:r>
          </w:p>
        </w:tc>
      </w:tr>
      <w:tr w:rsidR="00AF3DA5" w:rsidTr="006825EE">
        <w:tc>
          <w:tcPr>
            <w:tcW w:w="2376" w:type="dxa"/>
          </w:tcPr>
          <w:p w:rsidR="00AF3DA5" w:rsidRDefault="00AF3DA5" w:rsidP="006825EE">
            <w:r>
              <w:t xml:space="preserve">CZK </w:t>
            </w:r>
          </w:p>
        </w:tc>
        <w:tc>
          <w:tcPr>
            <w:tcW w:w="1565" w:type="dxa"/>
          </w:tcPr>
          <w:p w:rsidR="00AF3DA5" w:rsidRDefault="0053535E" w:rsidP="006825EE">
            <w:pPr>
              <w:jc w:val="right"/>
            </w:pPr>
            <w:r>
              <w:t>151.815,70</w:t>
            </w:r>
          </w:p>
        </w:tc>
        <w:tc>
          <w:tcPr>
            <w:tcW w:w="1971" w:type="dxa"/>
          </w:tcPr>
          <w:p w:rsidR="00AF3DA5" w:rsidRDefault="0053535E" w:rsidP="006825EE">
            <w:pPr>
              <w:jc w:val="right"/>
            </w:pPr>
            <w:r>
              <w:t>171.220,21</w:t>
            </w:r>
          </w:p>
        </w:tc>
        <w:tc>
          <w:tcPr>
            <w:tcW w:w="1284" w:type="dxa"/>
          </w:tcPr>
          <w:p w:rsidR="00AF3DA5" w:rsidRDefault="005F5E02" w:rsidP="006825EE">
            <w:pPr>
              <w:jc w:val="center"/>
            </w:pPr>
            <w:r>
              <w:t>112,78</w:t>
            </w:r>
          </w:p>
        </w:tc>
      </w:tr>
      <w:tr w:rsidR="00AF3DA5" w:rsidTr="006825EE">
        <w:tc>
          <w:tcPr>
            <w:tcW w:w="2376" w:type="dxa"/>
          </w:tcPr>
          <w:p w:rsidR="00AF3DA5" w:rsidRDefault="00AF3DA5" w:rsidP="006825EE">
            <w:r>
              <w:t xml:space="preserve">KNJIŽNICA </w:t>
            </w:r>
          </w:p>
        </w:tc>
        <w:tc>
          <w:tcPr>
            <w:tcW w:w="1565" w:type="dxa"/>
          </w:tcPr>
          <w:p w:rsidR="00AF3DA5" w:rsidRDefault="00CB2B7A" w:rsidP="006825EE">
            <w:pPr>
              <w:jc w:val="right"/>
            </w:pPr>
            <w:r>
              <w:t>31.048,43</w:t>
            </w:r>
          </w:p>
        </w:tc>
        <w:tc>
          <w:tcPr>
            <w:tcW w:w="1971" w:type="dxa"/>
          </w:tcPr>
          <w:p w:rsidR="00AF3DA5" w:rsidRDefault="0053535E" w:rsidP="006825EE">
            <w:pPr>
              <w:jc w:val="right"/>
            </w:pPr>
            <w:r>
              <w:t>40.836,85</w:t>
            </w:r>
          </w:p>
        </w:tc>
        <w:tc>
          <w:tcPr>
            <w:tcW w:w="1284" w:type="dxa"/>
          </w:tcPr>
          <w:p w:rsidR="00AF3DA5" w:rsidRDefault="005F5E02" w:rsidP="006825EE">
            <w:pPr>
              <w:jc w:val="center"/>
            </w:pPr>
            <w:r>
              <w:t>131,53</w:t>
            </w:r>
          </w:p>
        </w:tc>
      </w:tr>
      <w:tr w:rsidR="00AF3DA5" w:rsidRPr="00916128" w:rsidTr="006825EE">
        <w:tc>
          <w:tcPr>
            <w:tcW w:w="2376" w:type="dxa"/>
          </w:tcPr>
          <w:p w:rsidR="00AF3DA5" w:rsidRPr="00916128" w:rsidRDefault="00AF3DA5" w:rsidP="006825EE">
            <w:pPr>
              <w:rPr>
                <w:b/>
              </w:rPr>
            </w:pPr>
            <w:r w:rsidRPr="00916128">
              <w:rPr>
                <w:b/>
              </w:rPr>
              <w:t xml:space="preserve">UKUPNO </w:t>
            </w:r>
          </w:p>
        </w:tc>
        <w:tc>
          <w:tcPr>
            <w:tcW w:w="1565" w:type="dxa"/>
          </w:tcPr>
          <w:p w:rsidR="00AF3DA5" w:rsidRPr="00916128" w:rsidRDefault="005F5E02" w:rsidP="006825EE">
            <w:pPr>
              <w:jc w:val="right"/>
              <w:rPr>
                <w:b/>
              </w:rPr>
            </w:pPr>
            <w:r>
              <w:rPr>
                <w:b/>
              </w:rPr>
              <w:fldChar w:fldCharType="begin"/>
            </w:r>
            <w:r>
              <w:rPr>
                <w:b/>
              </w:rPr>
              <w:instrText xml:space="preserve"> =SUM(ABOVE) </w:instrText>
            </w:r>
            <w:r>
              <w:rPr>
                <w:b/>
              </w:rPr>
              <w:fldChar w:fldCharType="separate"/>
            </w:r>
            <w:r>
              <w:rPr>
                <w:b/>
                <w:noProof/>
              </w:rPr>
              <w:t>536.743,2</w:t>
            </w:r>
            <w:r>
              <w:rPr>
                <w:b/>
              </w:rPr>
              <w:fldChar w:fldCharType="end"/>
            </w:r>
            <w:r>
              <w:rPr>
                <w:b/>
              </w:rPr>
              <w:t>0</w:t>
            </w:r>
          </w:p>
        </w:tc>
        <w:tc>
          <w:tcPr>
            <w:tcW w:w="1971" w:type="dxa"/>
          </w:tcPr>
          <w:p w:rsidR="00AF3DA5" w:rsidRPr="00916128" w:rsidRDefault="0053535E" w:rsidP="006825EE">
            <w:pPr>
              <w:jc w:val="right"/>
              <w:rPr>
                <w:b/>
              </w:rPr>
            </w:pPr>
            <w:r>
              <w:rPr>
                <w:b/>
              </w:rPr>
              <w:fldChar w:fldCharType="begin"/>
            </w:r>
            <w:r>
              <w:rPr>
                <w:b/>
              </w:rPr>
              <w:instrText xml:space="preserve"> =SUM(ABOVE) </w:instrText>
            </w:r>
            <w:r>
              <w:rPr>
                <w:b/>
              </w:rPr>
              <w:fldChar w:fldCharType="separate"/>
            </w:r>
            <w:r>
              <w:rPr>
                <w:b/>
                <w:noProof/>
              </w:rPr>
              <w:t>706.604,73</w:t>
            </w:r>
            <w:r>
              <w:rPr>
                <w:b/>
              </w:rPr>
              <w:fldChar w:fldCharType="end"/>
            </w:r>
          </w:p>
        </w:tc>
        <w:tc>
          <w:tcPr>
            <w:tcW w:w="1284" w:type="dxa"/>
          </w:tcPr>
          <w:p w:rsidR="00AF3DA5" w:rsidRPr="00916128" w:rsidRDefault="005F5E02" w:rsidP="006825EE">
            <w:pPr>
              <w:jc w:val="center"/>
              <w:rPr>
                <w:b/>
              </w:rPr>
            </w:pPr>
            <w:r>
              <w:rPr>
                <w:b/>
              </w:rPr>
              <w:t>131,65</w:t>
            </w:r>
          </w:p>
        </w:tc>
      </w:tr>
    </w:tbl>
    <w:p w:rsidR="001F7C53" w:rsidRDefault="001F7C53" w:rsidP="002A71CB">
      <w:pPr>
        <w:pStyle w:val="BodyText"/>
        <w:tabs>
          <w:tab w:val="right" w:leader="dot" w:pos="9072"/>
        </w:tabs>
        <w:rPr>
          <w:b/>
          <w:u w:val="single"/>
        </w:rPr>
      </w:pPr>
    </w:p>
    <w:p w:rsidR="00213912" w:rsidRDefault="00213912" w:rsidP="002A71CB">
      <w:pPr>
        <w:pStyle w:val="BodyText"/>
        <w:tabs>
          <w:tab w:val="right" w:leader="dot" w:pos="9072"/>
        </w:tabs>
        <w:rPr>
          <w:b/>
          <w:u w:val="single"/>
        </w:rPr>
      </w:pPr>
      <w:r>
        <w:rPr>
          <w:b/>
          <w:u w:val="single"/>
        </w:rPr>
        <w:t>IV</w:t>
      </w:r>
      <w:r w:rsidR="002A71CB" w:rsidRPr="00990F20">
        <w:rPr>
          <w:b/>
          <w:u w:val="single"/>
        </w:rPr>
        <w:t>. Posebni izvještaji</w:t>
      </w:r>
      <w:r w:rsidR="00990F20" w:rsidRPr="00990F20">
        <w:rPr>
          <w:b/>
          <w:u w:val="single"/>
        </w:rPr>
        <w:t xml:space="preserve"> u godišnjem izvještaju o izvršenju proračuna</w:t>
      </w:r>
      <w:r w:rsidR="00C75727">
        <w:rPr>
          <w:b/>
          <w:u w:val="single"/>
        </w:rPr>
        <w:t xml:space="preserve">  </w:t>
      </w:r>
    </w:p>
    <w:p w:rsidR="00213912" w:rsidRDefault="00213912" w:rsidP="00213912">
      <w:pPr>
        <w:pStyle w:val="BodyText"/>
        <w:tabs>
          <w:tab w:val="right" w:leader="dot" w:pos="9072"/>
        </w:tabs>
        <w:jc w:val="left"/>
        <w:rPr>
          <w:b/>
          <w:u w:val="single"/>
        </w:rPr>
      </w:pPr>
    </w:p>
    <w:p w:rsidR="00213912" w:rsidRPr="00182F2A" w:rsidRDefault="00213912" w:rsidP="00213912">
      <w:pPr>
        <w:pStyle w:val="BodyText"/>
        <w:tabs>
          <w:tab w:val="right" w:leader="dot" w:pos="9072"/>
        </w:tabs>
        <w:jc w:val="left"/>
        <w:rPr>
          <w:b/>
          <w:u w:val="single"/>
        </w:rPr>
      </w:pPr>
      <w:r>
        <w:rPr>
          <w:b/>
          <w:u w:val="single"/>
        </w:rPr>
        <w:t>IV</w:t>
      </w:r>
      <w:r w:rsidRPr="00182F2A">
        <w:rPr>
          <w:b/>
          <w:u w:val="single"/>
        </w:rPr>
        <w:t>.</w:t>
      </w:r>
      <w:r>
        <w:rPr>
          <w:b/>
          <w:u w:val="single"/>
        </w:rPr>
        <w:t>1.)</w:t>
      </w:r>
      <w:r w:rsidRPr="00182F2A">
        <w:rPr>
          <w:b/>
          <w:u w:val="single"/>
        </w:rPr>
        <w:t xml:space="preserve"> Izvještaj o korištenju proračunske zalihe</w:t>
      </w:r>
    </w:p>
    <w:p w:rsidR="00213912" w:rsidRPr="00F0066F" w:rsidRDefault="00213912" w:rsidP="00213912">
      <w:pPr>
        <w:pStyle w:val="BodyText"/>
        <w:tabs>
          <w:tab w:val="right" w:leader="dot" w:pos="9072"/>
        </w:tabs>
        <w:jc w:val="left"/>
        <w:rPr>
          <w:b/>
          <w:color w:val="FF0000"/>
        </w:rPr>
      </w:pPr>
      <w:r w:rsidRPr="002249C6">
        <w:rPr>
          <w:u w:val="single"/>
        </w:rPr>
        <w:t>Općina Vela Luka nema proračunsku zalihu i nije ju utvrdila Odlukom o iz</w:t>
      </w:r>
      <w:r>
        <w:rPr>
          <w:u w:val="single"/>
        </w:rPr>
        <w:t>vršavanju proračuna za 202</w:t>
      </w:r>
      <w:r w:rsidR="006877AD">
        <w:rPr>
          <w:u w:val="single"/>
        </w:rPr>
        <w:t>5</w:t>
      </w:r>
      <w:r w:rsidRPr="002249C6">
        <w:rPr>
          <w:u w:val="single"/>
        </w:rPr>
        <w:t>. godinu.</w:t>
      </w:r>
    </w:p>
    <w:p w:rsidR="00213912" w:rsidRDefault="00213912" w:rsidP="00213912">
      <w:pPr>
        <w:pStyle w:val="BodyText"/>
        <w:tabs>
          <w:tab w:val="right" w:leader="dot" w:pos="9072"/>
        </w:tabs>
        <w:jc w:val="left"/>
      </w:pPr>
      <w:r>
        <w:t>Temeljem članka 65. Zakona o proračunu, sredstva proračunske zalihe (0,50% planiranih općih prihoda proračuna bez primitaka) koriste se za nepredviđene namjene, za koje u proračunu nisu osigurana sredstva. Sredstva proračunske zalihe koriste se za financiranje rashoda nastalih pri otklanjanju posljedica elementarnih nepogoda, epidemija, ekoloških i ostalih nepredvidivih nesreća odnosno izvanrednih događaja tijekom godine i ne mogu se koristit za pozajmljivanje.</w:t>
      </w:r>
    </w:p>
    <w:p w:rsidR="002A71CB" w:rsidRPr="00B45268" w:rsidRDefault="00213912" w:rsidP="002A71CB">
      <w:pPr>
        <w:pStyle w:val="BodyText"/>
        <w:tabs>
          <w:tab w:val="right" w:leader="dot" w:pos="9072"/>
        </w:tabs>
        <w:rPr>
          <w:b/>
          <w:u w:val="single"/>
        </w:rPr>
      </w:pPr>
      <w:r>
        <w:rPr>
          <w:b/>
          <w:u w:val="single"/>
        </w:rPr>
        <w:lastRenderedPageBreak/>
        <w:t xml:space="preserve">IV.2.) </w:t>
      </w:r>
      <w:r w:rsidR="002A71CB" w:rsidRPr="00B45268">
        <w:rPr>
          <w:b/>
          <w:u w:val="single"/>
        </w:rPr>
        <w:t>Izvještaj o zaduživanju na domaćem i stranom tržištu novca i kapitala</w:t>
      </w:r>
    </w:p>
    <w:p w:rsidR="002A71CB" w:rsidRDefault="002A71CB" w:rsidP="002A71CB">
      <w:pPr>
        <w:rPr>
          <w:b/>
          <w:sz w:val="22"/>
          <w:szCs w:val="22"/>
        </w:rPr>
      </w:pPr>
    </w:p>
    <w:p w:rsidR="00D020C2" w:rsidRDefault="00D020C2" w:rsidP="00D020C2">
      <w:pPr>
        <w:tabs>
          <w:tab w:val="left" w:pos="0"/>
        </w:tabs>
      </w:pPr>
      <w:r w:rsidRPr="00200A59">
        <w:t>Na temelju članaka 120. i 121. Zakona o proračunu (Narodne novine, br. 144/21), općina se mo</w:t>
      </w:r>
      <w:r>
        <w:t>že</w:t>
      </w:r>
      <w:r w:rsidRPr="00200A59">
        <w:t xml:space="preserve"> zadužiti za investiciju koja se financira iz nj</w:t>
      </w:r>
      <w:r>
        <w:t>ezina</w:t>
      </w:r>
      <w:r w:rsidRPr="00200A59">
        <w:t xml:space="preserve"> proračuna</w:t>
      </w:r>
      <w:r>
        <w:t>.</w:t>
      </w:r>
      <w:r w:rsidRPr="00D020C2">
        <w:t xml:space="preserve"> </w:t>
      </w:r>
      <w:r>
        <w:t>Pod investicijom se smatraju rashodi za nabavu nefinancijske imovine (osim prijevoznog sredstva u cestovnom prometu – osobnog automobila) i drugi rashodi izravno povezani s takvom investicijom.</w:t>
      </w:r>
    </w:p>
    <w:p w:rsidR="00D020C2" w:rsidRDefault="00D020C2" w:rsidP="00D020C2">
      <w:pPr>
        <w:tabs>
          <w:tab w:val="left" w:pos="0"/>
        </w:tabs>
      </w:pPr>
    </w:p>
    <w:p w:rsidR="00D020C2" w:rsidRDefault="00D020C2" w:rsidP="00D020C2">
      <w:pPr>
        <w:tabs>
          <w:tab w:val="left" w:pos="0"/>
        </w:tabs>
      </w:pPr>
      <w:r w:rsidRPr="00200A59">
        <w:t xml:space="preserve"> </w:t>
      </w:r>
      <w:r>
        <w:t>Ukupna g</w:t>
      </w:r>
      <w:r w:rsidRPr="00200A59">
        <w:t>odišnj</w:t>
      </w:r>
      <w:r>
        <w:t>a</w:t>
      </w:r>
      <w:r w:rsidRPr="00200A59">
        <w:t xml:space="preserve"> obvez</w:t>
      </w:r>
      <w:r>
        <w:t>a Općine</w:t>
      </w:r>
      <w:r w:rsidRPr="00200A59">
        <w:t xml:space="preserve"> mo</w:t>
      </w:r>
      <w:r>
        <w:t>že</w:t>
      </w:r>
      <w:r w:rsidRPr="00200A59">
        <w:t xml:space="preserve"> iznositi najviše</w:t>
      </w:r>
      <w:r>
        <w:t xml:space="preserve"> do</w:t>
      </w:r>
      <w:r w:rsidRPr="00200A59">
        <w:t xml:space="preserve"> 20% ostvarenih prihoda u godini koja prethodi godini u kojoj se zadužuje, umanjenih za prihode </w:t>
      </w:r>
      <w:r w:rsidR="00C75727">
        <w:t>od pomoći.</w:t>
      </w:r>
      <w:r w:rsidRPr="00200A59">
        <w:t xml:space="preserve"> </w:t>
      </w:r>
    </w:p>
    <w:p w:rsidR="00D020C2" w:rsidRDefault="00D020C2" w:rsidP="00D020C2">
      <w:pPr>
        <w:tabs>
          <w:tab w:val="left" w:pos="0"/>
        </w:tabs>
      </w:pPr>
    </w:p>
    <w:p w:rsidR="00D020C2" w:rsidRPr="00200A59" w:rsidRDefault="00D020C2" w:rsidP="00D020C2">
      <w:pPr>
        <w:tabs>
          <w:tab w:val="left" w:pos="0"/>
        </w:tabs>
      </w:pPr>
      <w:r w:rsidRPr="00200A59">
        <w:t xml:space="preserve">Međutim, člankom 121. stavkom 5. istoga Zakona propisano je da se odredbe navedenoga članka </w:t>
      </w:r>
      <w:r w:rsidRPr="009F434F">
        <w:rPr>
          <w:b/>
        </w:rPr>
        <w:t>ne odnose na zaduživanja za projekte iz područja unapređenja energetske učinkovitosti</w:t>
      </w:r>
      <w:r w:rsidRPr="00200A59">
        <w:t xml:space="preserve"> i projekte koji se sufinanciraju iz </w:t>
      </w:r>
      <w:r w:rsidR="00C75727">
        <w:t>sredstava</w:t>
      </w:r>
      <w:r w:rsidRPr="00200A59">
        <w:t xml:space="preserve"> Europske unije</w:t>
      </w:r>
      <w:r w:rsidR="00C75727">
        <w:t>.</w:t>
      </w:r>
    </w:p>
    <w:p w:rsidR="008D5BAC" w:rsidRDefault="008D5BAC" w:rsidP="00D020C2">
      <w:pPr>
        <w:pStyle w:val="BodyText"/>
        <w:tabs>
          <w:tab w:val="right" w:leader="dot" w:pos="9072"/>
        </w:tabs>
        <w:jc w:val="left"/>
        <w:rPr>
          <w:b/>
        </w:rPr>
      </w:pPr>
    </w:p>
    <w:p w:rsidR="00214DA2" w:rsidRPr="008D5BAC" w:rsidRDefault="008D5BAC" w:rsidP="00D020C2">
      <w:pPr>
        <w:pStyle w:val="BodyText"/>
        <w:tabs>
          <w:tab w:val="right" w:leader="dot" w:pos="9072"/>
        </w:tabs>
        <w:jc w:val="left"/>
        <w:rPr>
          <w:b/>
          <w:u w:val="single"/>
        </w:rPr>
      </w:pPr>
      <w:r w:rsidRPr="008D5BAC">
        <w:rPr>
          <w:b/>
          <w:u w:val="single"/>
        </w:rPr>
        <w:t>Obveze za kredite od tuzemnih kreditnih institucija izvan javnog sektora</w:t>
      </w:r>
    </w:p>
    <w:p w:rsidR="008D5BAC" w:rsidRDefault="008D5BAC" w:rsidP="00D020C2">
      <w:pPr>
        <w:pStyle w:val="BodyText"/>
        <w:tabs>
          <w:tab w:val="right" w:leader="dot" w:pos="9072"/>
        </w:tabs>
        <w:jc w:val="left"/>
        <w:rPr>
          <w:b/>
        </w:rPr>
      </w:pPr>
    </w:p>
    <w:p w:rsidR="00C75727" w:rsidRPr="00C75727" w:rsidRDefault="00C75727" w:rsidP="00D020C2">
      <w:pPr>
        <w:pStyle w:val="BodyText"/>
        <w:tabs>
          <w:tab w:val="right" w:leader="dot" w:pos="9072"/>
        </w:tabs>
        <w:jc w:val="left"/>
        <w:rPr>
          <w:b/>
        </w:rPr>
      </w:pPr>
      <w:r w:rsidRPr="00C75727">
        <w:rPr>
          <w:b/>
        </w:rPr>
        <w:t>a) Ugovor o kreditu broj INJN-24-1103117 za modernizaciju javne rasvjete LED tehnologijom</w:t>
      </w:r>
    </w:p>
    <w:p w:rsidR="00C75727" w:rsidRDefault="00C75727" w:rsidP="00D020C2">
      <w:pPr>
        <w:pStyle w:val="BodyText"/>
        <w:tabs>
          <w:tab w:val="right" w:leader="dot" w:pos="9072"/>
        </w:tabs>
        <w:jc w:val="left"/>
      </w:pPr>
    </w:p>
    <w:p w:rsidR="00EF25FE" w:rsidRDefault="00D020C2" w:rsidP="00EF25FE">
      <w:pPr>
        <w:pStyle w:val="BodyText"/>
        <w:tabs>
          <w:tab w:val="right" w:leader="dot" w:pos="9072"/>
        </w:tabs>
        <w:jc w:val="left"/>
      </w:pPr>
      <w:r w:rsidRPr="005331B9">
        <w:t xml:space="preserve">Općina Vela Luka je </w:t>
      </w:r>
      <w:r>
        <w:t>s HBOR-om sklopila dana 20.02.2024.</w:t>
      </w:r>
      <w:r w:rsidRPr="005331B9">
        <w:t xml:space="preserve"> godine Ugovor o kreditu</w:t>
      </w:r>
      <w:r w:rsidRPr="00471FE9">
        <w:t xml:space="preserve"> </w:t>
      </w:r>
      <w:r w:rsidRPr="005331B9">
        <w:t xml:space="preserve">broj </w:t>
      </w:r>
      <w:r>
        <w:t xml:space="preserve">INJN-24-1103117 </w:t>
      </w:r>
      <w:r w:rsidRPr="00471FE9">
        <w:t>za modernizaciju javne rasvjete LED tehnologijom</w:t>
      </w:r>
      <w:r w:rsidRPr="005331B9">
        <w:t xml:space="preserve"> </w:t>
      </w:r>
      <w:r>
        <w:t>na iznos od 328.770,99 EUR. Rok korištenja kredita je</w:t>
      </w:r>
      <w:r w:rsidR="0031451B">
        <w:t xml:space="preserve"> bio</w:t>
      </w:r>
      <w:r>
        <w:t xml:space="preserve"> do 31.12.2024.</w:t>
      </w:r>
      <w:r w:rsidR="00B24F3E">
        <w:t xml:space="preserve"> </w:t>
      </w:r>
      <w:r>
        <w:t>godine, a vraćati će se u 90 jednakih mjesečnih rata od kojih</w:t>
      </w:r>
      <w:r w:rsidR="002A30E3">
        <w:t xml:space="preserve"> je</w:t>
      </w:r>
      <w:r>
        <w:t xml:space="preserve"> 1. dospije</w:t>
      </w:r>
      <w:r w:rsidR="002A30E3">
        <w:t>l</w:t>
      </w:r>
      <w:r>
        <w:t xml:space="preserve">a na naplatu 31.07.2025. </w:t>
      </w:r>
      <w:r w:rsidR="00EF25FE">
        <w:t xml:space="preserve">a zadnja </w:t>
      </w:r>
      <w:r w:rsidR="002A30E3">
        <w:t xml:space="preserve">dospijeva </w:t>
      </w:r>
      <w:r w:rsidR="00EF25FE">
        <w:t>31.12.2032. godine.</w:t>
      </w:r>
    </w:p>
    <w:p w:rsidR="00214DA2" w:rsidRDefault="00214DA2" w:rsidP="00EF25FE">
      <w:pPr>
        <w:pStyle w:val="BodyText"/>
        <w:tabs>
          <w:tab w:val="right" w:leader="dot" w:pos="9072"/>
        </w:tabs>
        <w:jc w:val="left"/>
      </w:pPr>
    </w:p>
    <w:p w:rsidR="00EF25FE" w:rsidRDefault="00D020C2" w:rsidP="00EF25FE">
      <w:pPr>
        <w:pStyle w:val="BodyText"/>
        <w:tabs>
          <w:tab w:val="right" w:leader="dot" w:pos="9072"/>
        </w:tabs>
        <w:jc w:val="left"/>
      </w:pPr>
      <w:r>
        <w:t>Ovaj kredit je financiran sredstvima Europske investicijske banke, a subvenciju kamate financira EU - NextGenerationEU.</w:t>
      </w:r>
      <w:r w:rsidR="00EF25FE" w:rsidRPr="00EF25FE">
        <w:t xml:space="preserve"> </w:t>
      </w:r>
    </w:p>
    <w:p w:rsidR="002A30E3" w:rsidRDefault="002A30E3" w:rsidP="00EF25FE">
      <w:pPr>
        <w:pStyle w:val="BodyText"/>
        <w:tabs>
          <w:tab w:val="right" w:leader="dot" w:pos="9072"/>
        </w:tabs>
        <w:jc w:val="left"/>
      </w:pPr>
    </w:p>
    <w:p w:rsidR="00EF25FE" w:rsidRDefault="008D5BAC" w:rsidP="00EF25FE">
      <w:pPr>
        <w:pStyle w:val="BodyText"/>
        <w:tabs>
          <w:tab w:val="right" w:leader="dot" w:pos="9072"/>
        </w:tabs>
        <w:jc w:val="left"/>
      </w:pPr>
      <w:r>
        <w:t xml:space="preserve">Na dan 01.01.25. Općina ima kreditno zaduženje u iznosu od 321.550,00 eura. </w:t>
      </w:r>
      <w:r w:rsidR="002A30E3">
        <w:t xml:space="preserve">U </w:t>
      </w:r>
      <w:r w:rsidR="00EF25FE">
        <w:t xml:space="preserve">2025. </w:t>
      </w:r>
      <w:r w:rsidR="002A30E3">
        <w:t>otplaćeno je</w:t>
      </w:r>
      <w:r>
        <w:t xml:space="preserve"> ukupno</w:t>
      </w:r>
      <w:r w:rsidR="002A30E3">
        <w:t xml:space="preserve"> 21.436,68 eura glavnice i 7.417,00 eura kamata.</w:t>
      </w:r>
      <w:r w:rsidR="00EF25FE">
        <w:t xml:space="preserve"> </w:t>
      </w:r>
    </w:p>
    <w:p w:rsidR="002A30E3" w:rsidRDefault="002A30E3" w:rsidP="00EF25FE">
      <w:pPr>
        <w:ind w:firstLine="708"/>
        <w:jc w:val="both"/>
        <w:rPr>
          <w:rFonts w:ascii="Arial" w:hAnsi="Arial" w:cs="Arial"/>
          <w:b/>
          <w:sz w:val="20"/>
          <w:szCs w:val="20"/>
        </w:rPr>
      </w:pPr>
    </w:p>
    <w:p w:rsidR="00EF25FE" w:rsidRDefault="00E20BB0" w:rsidP="00EF25FE">
      <w:pPr>
        <w:ind w:firstLine="708"/>
        <w:jc w:val="both"/>
        <w:rPr>
          <w:rFonts w:ascii="Arial" w:hAnsi="Arial" w:cs="Arial"/>
          <w:b/>
          <w:sz w:val="20"/>
          <w:szCs w:val="20"/>
        </w:rPr>
      </w:pPr>
      <w:r>
        <w:rPr>
          <w:rFonts w:ascii="Arial" w:hAnsi="Arial" w:cs="Arial"/>
          <w:b/>
          <w:sz w:val="20"/>
          <w:szCs w:val="20"/>
        </w:rPr>
        <w:t>Tablica 1</w:t>
      </w:r>
      <w:r w:rsidR="008D5BAC">
        <w:rPr>
          <w:rFonts w:ascii="Arial" w:hAnsi="Arial" w:cs="Arial"/>
          <w:b/>
          <w:sz w:val="20"/>
          <w:szCs w:val="20"/>
        </w:rPr>
        <w:t>3</w:t>
      </w:r>
      <w:r>
        <w:rPr>
          <w:rFonts w:ascii="Arial" w:hAnsi="Arial" w:cs="Arial"/>
          <w:b/>
          <w:sz w:val="20"/>
          <w:szCs w:val="20"/>
        </w:rPr>
        <w:t xml:space="preserve">: </w:t>
      </w:r>
      <w:r w:rsidR="00EF25FE">
        <w:rPr>
          <w:rFonts w:ascii="Arial" w:hAnsi="Arial" w:cs="Arial"/>
          <w:b/>
          <w:sz w:val="20"/>
          <w:szCs w:val="20"/>
        </w:rPr>
        <w:t>Primljeni zajmovi i otplate</w:t>
      </w:r>
    </w:p>
    <w:p w:rsidR="00E20BB0" w:rsidRDefault="00E20BB0" w:rsidP="00EF25FE">
      <w:pPr>
        <w:ind w:firstLine="708"/>
        <w:jc w:val="both"/>
        <w:rPr>
          <w:rFonts w:ascii="Arial" w:hAnsi="Arial" w:cs="Arial"/>
          <w:b/>
          <w:sz w:val="20"/>
          <w:szCs w:val="20"/>
        </w:rPr>
      </w:pPr>
    </w:p>
    <w:tbl>
      <w:tblPr>
        <w:tblW w:w="10440" w:type="dxa"/>
        <w:tblInd w:w="113" w:type="dxa"/>
        <w:tblLook w:val="04A0" w:firstRow="1" w:lastRow="0" w:firstColumn="1" w:lastColumn="0" w:noHBand="0" w:noVBand="1"/>
      </w:tblPr>
      <w:tblGrid>
        <w:gridCol w:w="760"/>
        <w:gridCol w:w="2637"/>
        <w:gridCol w:w="1683"/>
        <w:gridCol w:w="1520"/>
        <w:gridCol w:w="1900"/>
        <w:gridCol w:w="1940"/>
      </w:tblGrid>
      <w:tr w:rsidR="00EF25FE" w:rsidTr="00A44ADC">
        <w:trPr>
          <w:trHeight w:val="690"/>
        </w:trPr>
        <w:tc>
          <w:tcPr>
            <w:tcW w:w="76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rsidR="00EF25FE" w:rsidRDefault="00EF25FE" w:rsidP="00A44ADC">
            <w:pPr>
              <w:jc w:val="center"/>
              <w:rPr>
                <w:rFonts w:ascii="Arial" w:hAnsi="Arial" w:cs="Arial"/>
                <w:color w:val="000000"/>
                <w:sz w:val="18"/>
                <w:szCs w:val="18"/>
              </w:rPr>
            </w:pPr>
            <w:r>
              <w:rPr>
                <w:rFonts w:ascii="Arial" w:hAnsi="Arial" w:cs="Arial"/>
                <w:color w:val="000000"/>
                <w:sz w:val="18"/>
                <w:szCs w:val="18"/>
              </w:rPr>
              <w:t>R.br.</w:t>
            </w:r>
          </w:p>
        </w:tc>
        <w:tc>
          <w:tcPr>
            <w:tcW w:w="2637" w:type="dxa"/>
            <w:tcBorders>
              <w:top w:val="single" w:sz="4" w:space="0" w:color="auto"/>
              <w:left w:val="nil"/>
              <w:bottom w:val="single" w:sz="4" w:space="0" w:color="auto"/>
              <w:right w:val="single" w:sz="4" w:space="0" w:color="auto"/>
            </w:tcBorders>
            <w:shd w:val="clear" w:color="auto" w:fill="E2EFDA"/>
            <w:noWrap/>
            <w:vAlign w:val="center"/>
            <w:hideMark/>
          </w:tcPr>
          <w:p w:rsidR="00EF25FE" w:rsidRDefault="00EF25FE" w:rsidP="00A44ADC">
            <w:pPr>
              <w:jc w:val="center"/>
              <w:rPr>
                <w:rFonts w:ascii="Arial" w:hAnsi="Arial" w:cs="Arial"/>
                <w:color w:val="000000"/>
                <w:sz w:val="18"/>
                <w:szCs w:val="18"/>
              </w:rPr>
            </w:pPr>
            <w:r>
              <w:rPr>
                <w:rFonts w:ascii="Arial" w:hAnsi="Arial" w:cs="Arial"/>
                <w:color w:val="000000"/>
                <w:sz w:val="18"/>
                <w:szCs w:val="18"/>
              </w:rPr>
              <w:t>Naziv pravne osobe</w:t>
            </w:r>
          </w:p>
        </w:tc>
        <w:tc>
          <w:tcPr>
            <w:tcW w:w="1683" w:type="dxa"/>
            <w:tcBorders>
              <w:top w:val="single" w:sz="4" w:space="0" w:color="auto"/>
              <w:left w:val="nil"/>
              <w:bottom w:val="single" w:sz="4" w:space="0" w:color="auto"/>
              <w:right w:val="single" w:sz="4" w:space="0" w:color="auto"/>
            </w:tcBorders>
            <w:shd w:val="clear" w:color="auto" w:fill="E2EFDA"/>
            <w:noWrap/>
            <w:vAlign w:val="center"/>
            <w:hideMark/>
          </w:tcPr>
          <w:p w:rsidR="00EF25FE" w:rsidRDefault="00EF25FE" w:rsidP="00A44ADC">
            <w:pPr>
              <w:jc w:val="center"/>
              <w:rPr>
                <w:rFonts w:ascii="Arial" w:hAnsi="Arial" w:cs="Arial"/>
                <w:color w:val="000000"/>
                <w:sz w:val="18"/>
                <w:szCs w:val="18"/>
              </w:rPr>
            </w:pPr>
            <w:r>
              <w:rPr>
                <w:rFonts w:ascii="Arial" w:hAnsi="Arial" w:cs="Arial"/>
                <w:color w:val="000000"/>
                <w:sz w:val="18"/>
                <w:szCs w:val="18"/>
              </w:rPr>
              <w:t>stanje zajma 1.1.</w:t>
            </w:r>
          </w:p>
        </w:tc>
        <w:tc>
          <w:tcPr>
            <w:tcW w:w="1520" w:type="dxa"/>
            <w:tcBorders>
              <w:top w:val="single" w:sz="4" w:space="0" w:color="auto"/>
              <w:left w:val="nil"/>
              <w:bottom w:val="single" w:sz="4" w:space="0" w:color="auto"/>
              <w:right w:val="single" w:sz="4" w:space="0" w:color="auto"/>
            </w:tcBorders>
            <w:shd w:val="clear" w:color="auto" w:fill="E2EFDA"/>
            <w:noWrap/>
            <w:vAlign w:val="center"/>
            <w:hideMark/>
          </w:tcPr>
          <w:p w:rsidR="00EF25FE" w:rsidRDefault="00EF25FE" w:rsidP="00A44ADC">
            <w:pPr>
              <w:jc w:val="center"/>
              <w:rPr>
                <w:rFonts w:ascii="Arial" w:hAnsi="Arial" w:cs="Arial"/>
                <w:color w:val="000000"/>
                <w:sz w:val="18"/>
                <w:szCs w:val="18"/>
              </w:rPr>
            </w:pPr>
            <w:r>
              <w:rPr>
                <w:rFonts w:ascii="Arial" w:hAnsi="Arial" w:cs="Arial"/>
                <w:color w:val="000000"/>
                <w:sz w:val="18"/>
                <w:szCs w:val="18"/>
              </w:rPr>
              <w:t>otplate</w:t>
            </w:r>
          </w:p>
        </w:tc>
        <w:tc>
          <w:tcPr>
            <w:tcW w:w="1900" w:type="dxa"/>
            <w:tcBorders>
              <w:top w:val="single" w:sz="4" w:space="0" w:color="auto"/>
              <w:left w:val="nil"/>
              <w:bottom w:val="single" w:sz="4" w:space="0" w:color="auto"/>
              <w:right w:val="single" w:sz="4" w:space="0" w:color="auto"/>
            </w:tcBorders>
            <w:shd w:val="clear" w:color="auto" w:fill="E2EFDA"/>
            <w:noWrap/>
            <w:vAlign w:val="center"/>
            <w:hideMark/>
          </w:tcPr>
          <w:p w:rsidR="00EF25FE" w:rsidRDefault="00EF25FE" w:rsidP="00A44ADC">
            <w:pPr>
              <w:jc w:val="center"/>
              <w:rPr>
                <w:rFonts w:ascii="Arial" w:hAnsi="Arial" w:cs="Arial"/>
                <w:color w:val="000000"/>
                <w:sz w:val="18"/>
                <w:szCs w:val="18"/>
              </w:rPr>
            </w:pPr>
            <w:r>
              <w:rPr>
                <w:rFonts w:ascii="Arial" w:hAnsi="Arial" w:cs="Arial"/>
                <w:color w:val="000000"/>
                <w:sz w:val="18"/>
                <w:szCs w:val="18"/>
              </w:rPr>
              <w:t>primljeni zajmovi</w:t>
            </w:r>
          </w:p>
        </w:tc>
        <w:tc>
          <w:tcPr>
            <w:tcW w:w="1940" w:type="dxa"/>
            <w:tcBorders>
              <w:top w:val="single" w:sz="4" w:space="0" w:color="auto"/>
              <w:left w:val="nil"/>
              <w:bottom w:val="single" w:sz="4" w:space="0" w:color="auto"/>
              <w:right w:val="single" w:sz="4" w:space="0" w:color="auto"/>
            </w:tcBorders>
            <w:shd w:val="clear" w:color="auto" w:fill="E2EFDA"/>
            <w:noWrap/>
            <w:vAlign w:val="center"/>
            <w:hideMark/>
          </w:tcPr>
          <w:p w:rsidR="00EF25FE" w:rsidRDefault="00EF25FE" w:rsidP="00A44ADC">
            <w:pPr>
              <w:jc w:val="center"/>
              <w:rPr>
                <w:rFonts w:ascii="Arial" w:hAnsi="Arial" w:cs="Arial"/>
                <w:color w:val="000000"/>
                <w:sz w:val="18"/>
                <w:szCs w:val="18"/>
              </w:rPr>
            </w:pPr>
            <w:r>
              <w:rPr>
                <w:rFonts w:ascii="Arial" w:hAnsi="Arial" w:cs="Arial"/>
                <w:color w:val="000000"/>
                <w:sz w:val="18"/>
                <w:szCs w:val="18"/>
              </w:rPr>
              <w:t>stanje 3</w:t>
            </w:r>
            <w:r w:rsidR="00712C2D">
              <w:rPr>
                <w:rFonts w:ascii="Arial" w:hAnsi="Arial" w:cs="Arial"/>
                <w:color w:val="000000"/>
                <w:sz w:val="18"/>
                <w:szCs w:val="18"/>
              </w:rPr>
              <w:t>1</w:t>
            </w:r>
            <w:r>
              <w:rPr>
                <w:rFonts w:ascii="Arial" w:hAnsi="Arial" w:cs="Arial"/>
                <w:color w:val="000000"/>
                <w:sz w:val="18"/>
                <w:szCs w:val="18"/>
              </w:rPr>
              <w:t>.</w:t>
            </w:r>
            <w:r w:rsidR="00712C2D">
              <w:rPr>
                <w:rFonts w:ascii="Arial" w:hAnsi="Arial" w:cs="Arial"/>
                <w:color w:val="000000"/>
                <w:sz w:val="18"/>
                <w:szCs w:val="18"/>
              </w:rPr>
              <w:t>12</w:t>
            </w:r>
            <w:r>
              <w:rPr>
                <w:rFonts w:ascii="Arial" w:hAnsi="Arial" w:cs="Arial"/>
                <w:color w:val="000000"/>
                <w:sz w:val="18"/>
                <w:szCs w:val="18"/>
              </w:rPr>
              <w:t>.</w:t>
            </w:r>
          </w:p>
        </w:tc>
      </w:tr>
      <w:tr w:rsidR="007B285A" w:rsidTr="00A44ADC">
        <w:trPr>
          <w:trHeight w:val="465"/>
        </w:trPr>
        <w:tc>
          <w:tcPr>
            <w:tcW w:w="760" w:type="dxa"/>
            <w:tcBorders>
              <w:top w:val="nil"/>
              <w:left w:val="single" w:sz="4" w:space="0" w:color="auto"/>
              <w:bottom w:val="single" w:sz="4" w:space="0" w:color="auto"/>
              <w:right w:val="single" w:sz="4" w:space="0" w:color="auto"/>
            </w:tcBorders>
            <w:noWrap/>
            <w:vAlign w:val="center"/>
            <w:hideMark/>
          </w:tcPr>
          <w:p w:rsidR="007B285A" w:rsidRDefault="007B285A" w:rsidP="007B285A">
            <w:pPr>
              <w:jc w:val="center"/>
              <w:rPr>
                <w:rFonts w:ascii="Arial" w:hAnsi="Arial" w:cs="Arial"/>
                <w:color w:val="000000"/>
                <w:sz w:val="18"/>
                <w:szCs w:val="18"/>
              </w:rPr>
            </w:pPr>
            <w:r>
              <w:rPr>
                <w:rFonts w:ascii="Arial" w:hAnsi="Arial" w:cs="Arial"/>
                <w:color w:val="000000"/>
                <w:sz w:val="18"/>
                <w:szCs w:val="18"/>
              </w:rPr>
              <w:t>1</w:t>
            </w:r>
          </w:p>
        </w:tc>
        <w:tc>
          <w:tcPr>
            <w:tcW w:w="2637" w:type="dxa"/>
            <w:tcBorders>
              <w:top w:val="nil"/>
              <w:left w:val="nil"/>
              <w:bottom w:val="single" w:sz="4" w:space="0" w:color="auto"/>
              <w:right w:val="single" w:sz="4" w:space="0" w:color="auto"/>
            </w:tcBorders>
            <w:noWrap/>
            <w:vAlign w:val="center"/>
            <w:hideMark/>
          </w:tcPr>
          <w:p w:rsidR="007B285A" w:rsidRDefault="007B285A" w:rsidP="007B285A">
            <w:pPr>
              <w:rPr>
                <w:rFonts w:ascii="Arial" w:hAnsi="Arial" w:cs="Arial"/>
                <w:color w:val="000000"/>
                <w:sz w:val="18"/>
                <w:szCs w:val="18"/>
              </w:rPr>
            </w:pPr>
            <w:r>
              <w:rPr>
                <w:rFonts w:ascii="Arial" w:hAnsi="Arial" w:cs="Arial"/>
                <w:color w:val="000000"/>
                <w:sz w:val="18"/>
                <w:szCs w:val="18"/>
              </w:rPr>
              <w:t>HBOR (za Modernizaciju JR)</w:t>
            </w:r>
          </w:p>
        </w:tc>
        <w:tc>
          <w:tcPr>
            <w:tcW w:w="1683" w:type="dxa"/>
            <w:tcBorders>
              <w:top w:val="nil"/>
              <w:left w:val="nil"/>
              <w:bottom w:val="single" w:sz="4" w:space="0" w:color="auto"/>
              <w:right w:val="single" w:sz="4" w:space="0" w:color="auto"/>
            </w:tcBorders>
            <w:noWrap/>
            <w:vAlign w:val="center"/>
            <w:hideMark/>
          </w:tcPr>
          <w:p w:rsidR="007B285A" w:rsidRDefault="007B285A" w:rsidP="007B285A">
            <w:pPr>
              <w:jc w:val="right"/>
              <w:rPr>
                <w:rFonts w:ascii="Arial" w:hAnsi="Arial" w:cs="Arial"/>
                <w:color w:val="000000"/>
                <w:sz w:val="18"/>
                <w:szCs w:val="18"/>
              </w:rPr>
            </w:pPr>
            <w:r>
              <w:rPr>
                <w:rFonts w:ascii="Arial" w:hAnsi="Arial" w:cs="Arial"/>
                <w:color w:val="000000"/>
                <w:sz w:val="18"/>
                <w:szCs w:val="18"/>
              </w:rPr>
              <w:t>321.550,00</w:t>
            </w:r>
          </w:p>
        </w:tc>
        <w:tc>
          <w:tcPr>
            <w:tcW w:w="1520" w:type="dxa"/>
            <w:tcBorders>
              <w:top w:val="nil"/>
              <w:left w:val="nil"/>
              <w:bottom w:val="single" w:sz="4" w:space="0" w:color="auto"/>
              <w:right w:val="single" w:sz="4" w:space="0" w:color="auto"/>
            </w:tcBorders>
            <w:noWrap/>
            <w:vAlign w:val="center"/>
            <w:hideMark/>
          </w:tcPr>
          <w:p w:rsidR="007B285A" w:rsidRDefault="00712C2D" w:rsidP="007B285A">
            <w:pPr>
              <w:jc w:val="right"/>
              <w:rPr>
                <w:rFonts w:ascii="Arial" w:hAnsi="Arial" w:cs="Arial"/>
                <w:color w:val="000000"/>
                <w:sz w:val="18"/>
                <w:szCs w:val="18"/>
              </w:rPr>
            </w:pPr>
            <w:r>
              <w:rPr>
                <w:rFonts w:ascii="Arial" w:hAnsi="Arial" w:cs="Arial"/>
                <w:color w:val="000000"/>
                <w:sz w:val="18"/>
                <w:szCs w:val="18"/>
              </w:rPr>
              <w:t>21.436,68</w:t>
            </w:r>
          </w:p>
        </w:tc>
        <w:tc>
          <w:tcPr>
            <w:tcW w:w="1900" w:type="dxa"/>
            <w:tcBorders>
              <w:top w:val="nil"/>
              <w:left w:val="nil"/>
              <w:bottom w:val="single" w:sz="4" w:space="0" w:color="auto"/>
              <w:right w:val="single" w:sz="4" w:space="0" w:color="auto"/>
            </w:tcBorders>
            <w:noWrap/>
            <w:vAlign w:val="center"/>
            <w:hideMark/>
          </w:tcPr>
          <w:p w:rsidR="007B285A" w:rsidRDefault="007B285A" w:rsidP="007B285A">
            <w:pPr>
              <w:jc w:val="right"/>
              <w:rPr>
                <w:rFonts w:ascii="Arial" w:hAnsi="Arial" w:cs="Arial"/>
                <w:color w:val="000000"/>
                <w:sz w:val="18"/>
                <w:szCs w:val="18"/>
              </w:rPr>
            </w:pPr>
            <w:r>
              <w:rPr>
                <w:rFonts w:ascii="Arial" w:hAnsi="Arial" w:cs="Arial"/>
                <w:color w:val="000000"/>
                <w:sz w:val="18"/>
                <w:szCs w:val="18"/>
              </w:rPr>
              <w:t>0,00</w:t>
            </w:r>
          </w:p>
        </w:tc>
        <w:tc>
          <w:tcPr>
            <w:tcW w:w="1940" w:type="dxa"/>
            <w:tcBorders>
              <w:top w:val="nil"/>
              <w:left w:val="nil"/>
              <w:bottom w:val="single" w:sz="4" w:space="0" w:color="auto"/>
              <w:right w:val="single" w:sz="4" w:space="0" w:color="auto"/>
            </w:tcBorders>
            <w:noWrap/>
            <w:vAlign w:val="center"/>
            <w:hideMark/>
          </w:tcPr>
          <w:p w:rsidR="007B285A" w:rsidRDefault="00712C2D" w:rsidP="007B285A">
            <w:pPr>
              <w:jc w:val="right"/>
              <w:rPr>
                <w:rFonts w:ascii="Arial" w:hAnsi="Arial" w:cs="Arial"/>
                <w:color w:val="000000"/>
                <w:sz w:val="18"/>
                <w:szCs w:val="18"/>
              </w:rPr>
            </w:pPr>
            <w:r>
              <w:rPr>
                <w:rFonts w:ascii="Arial" w:hAnsi="Arial" w:cs="Arial"/>
                <w:color w:val="000000"/>
                <w:sz w:val="18"/>
                <w:szCs w:val="18"/>
              </w:rPr>
              <w:t>300.113,32</w:t>
            </w:r>
          </w:p>
        </w:tc>
      </w:tr>
      <w:tr w:rsidR="007B285A" w:rsidTr="00A44ADC">
        <w:trPr>
          <w:trHeight w:val="480"/>
        </w:trPr>
        <w:tc>
          <w:tcPr>
            <w:tcW w:w="760" w:type="dxa"/>
            <w:tcBorders>
              <w:top w:val="nil"/>
              <w:left w:val="single" w:sz="4" w:space="0" w:color="auto"/>
              <w:bottom w:val="single" w:sz="4" w:space="0" w:color="auto"/>
              <w:right w:val="single" w:sz="4" w:space="0" w:color="auto"/>
            </w:tcBorders>
            <w:shd w:val="clear" w:color="auto" w:fill="E2EFDA"/>
            <w:noWrap/>
            <w:vAlign w:val="center"/>
            <w:hideMark/>
          </w:tcPr>
          <w:p w:rsidR="007B285A" w:rsidRDefault="007B285A" w:rsidP="007B285A">
            <w:pPr>
              <w:rPr>
                <w:rFonts w:ascii="Arial" w:hAnsi="Arial" w:cs="Arial"/>
                <w:color w:val="000000"/>
                <w:sz w:val="18"/>
                <w:szCs w:val="18"/>
              </w:rPr>
            </w:pPr>
            <w:r>
              <w:rPr>
                <w:rFonts w:ascii="Arial" w:hAnsi="Arial" w:cs="Arial"/>
                <w:color w:val="000000"/>
                <w:sz w:val="18"/>
                <w:szCs w:val="18"/>
              </w:rPr>
              <w:t> </w:t>
            </w:r>
          </w:p>
        </w:tc>
        <w:tc>
          <w:tcPr>
            <w:tcW w:w="2637" w:type="dxa"/>
            <w:tcBorders>
              <w:top w:val="nil"/>
              <w:left w:val="nil"/>
              <w:bottom w:val="single" w:sz="4" w:space="0" w:color="auto"/>
              <w:right w:val="single" w:sz="4" w:space="0" w:color="auto"/>
            </w:tcBorders>
            <w:shd w:val="clear" w:color="auto" w:fill="E2EFDA"/>
            <w:noWrap/>
            <w:vAlign w:val="center"/>
            <w:hideMark/>
          </w:tcPr>
          <w:p w:rsidR="007B285A" w:rsidRDefault="007B285A" w:rsidP="007B285A">
            <w:pPr>
              <w:rPr>
                <w:rFonts w:ascii="Arial" w:hAnsi="Arial" w:cs="Arial"/>
                <w:color w:val="000000"/>
                <w:sz w:val="18"/>
                <w:szCs w:val="18"/>
              </w:rPr>
            </w:pPr>
            <w:r>
              <w:rPr>
                <w:rFonts w:ascii="Arial" w:hAnsi="Arial" w:cs="Arial"/>
                <w:color w:val="000000"/>
                <w:sz w:val="18"/>
                <w:szCs w:val="18"/>
              </w:rPr>
              <w:t>Ukupno</w:t>
            </w:r>
          </w:p>
        </w:tc>
        <w:tc>
          <w:tcPr>
            <w:tcW w:w="1683" w:type="dxa"/>
            <w:tcBorders>
              <w:top w:val="nil"/>
              <w:left w:val="nil"/>
              <w:bottom w:val="single" w:sz="4" w:space="0" w:color="auto"/>
              <w:right w:val="single" w:sz="4" w:space="0" w:color="auto"/>
            </w:tcBorders>
            <w:shd w:val="clear" w:color="auto" w:fill="E2EFDA"/>
            <w:noWrap/>
            <w:vAlign w:val="center"/>
            <w:hideMark/>
          </w:tcPr>
          <w:p w:rsidR="007B285A" w:rsidRDefault="007B285A" w:rsidP="007B285A">
            <w:pPr>
              <w:jc w:val="right"/>
              <w:rPr>
                <w:rFonts w:ascii="Arial" w:hAnsi="Arial" w:cs="Arial"/>
                <w:color w:val="000000"/>
                <w:sz w:val="18"/>
                <w:szCs w:val="18"/>
              </w:rPr>
            </w:pPr>
            <w:r>
              <w:rPr>
                <w:rFonts w:ascii="Arial" w:hAnsi="Arial" w:cs="Arial"/>
                <w:color w:val="000000"/>
                <w:sz w:val="18"/>
                <w:szCs w:val="18"/>
              </w:rPr>
              <w:t>321.550,00</w:t>
            </w:r>
          </w:p>
        </w:tc>
        <w:tc>
          <w:tcPr>
            <w:tcW w:w="1520" w:type="dxa"/>
            <w:tcBorders>
              <w:top w:val="nil"/>
              <w:left w:val="nil"/>
              <w:bottom w:val="single" w:sz="4" w:space="0" w:color="auto"/>
              <w:right w:val="single" w:sz="4" w:space="0" w:color="auto"/>
            </w:tcBorders>
            <w:shd w:val="clear" w:color="auto" w:fill="E2EFDA"/>
            <w:noWrap/>
            <w:vAlign w:val="center"/>
            <w:hideMark/>
          </w:tcPr>
          <w:p w:rsidR="007B285A" w:rsidRDefault="00712C2D" w:rsidP="007B285A">
            <w:pPr>
              <w:jc w:val="right"/>
              <w:rPr>
                <w:rFonts w:ascii="Arial" w:hAnsi="Arial" w:cs="Arial"/>
                <w:color w:val="000000"/>
                <w:sz w:val="18"/>
                <w:szCs w:val="18"/>
              </w:rPr>
            </w:pPr>
            <w:r>
              <w:rPr>
                <w:rFonts w:ascii="Arial" w:hAnsi="Arial" w:cs="Arial"/>
                <w:color w:val="000000"/>
                <w:sz w:val="18"/>
                <w:szCs w:val="18"/>
              </w:rPr>
              <w:t>21.436,68</w:t>
            </w:r>
          </w:p>
        </w:tc>
        <w:tc>
          <w:tcPr>
            <w:tcW w:w="1900" w:type="dxa"/>
            <w:tcBorders>
              <w:top w:val="nil"/>
              <w:left w:val="nil"/>
              <w:bottom w:val="single" w:sz="4" w:space="0" w:color="auto"/>
              <w:right w:val="single" w:sz="4" w:space="0" w:color="auto"/>
            </w:tcBorders>
            <w:shd w:val="clear" w:color="auto" w:fill="E2EFDA"/>
            <w:noWrap/>
            <w:vAlign w:val="center"/>
            <w:hideMark/>
          </w:tcPr>
          <w:p w:rsidR="007B285A" w:rsidRDefault="007B285A" w:rsidP="007B285A">
            <w:pPr>
              <w:jc w:val="right"/>
              <w:rPr>
                <w:rFonts w:ascii="Arial" w:hAnsi="Arial" w:cs="Arial"/>
                <w:color w:val="000000"/>
                <w:sz w:val="18"/>
                <w:szCs w:val="18"/>
              </w:rPr>
            </w:pPr>
            <w:r>
              <w:rPr>
                <w:rFonts w:ascii="Arial" w:hAnsi="Arial" w:cs="Arial"/>
                <w:color w:val="000000"/>
                <w:sz w:val="18"/>
                <w:szCs w:val="18"/>
              </w:rPr>
              <w:t>0,00</w:t>
            </w:r>
          </w:p>
        </w:tc>
        <w:tc>
          <w:tcPr>
            <w:tcW w:w="1940" w:type="dxa"/>
            <w:tcBorders>
              <w:top w:val="nil"/>
              <w:left w:val="nil"/>
              <w:bottom w:val="single" w:sz="4" w:space="0" w:color="auto"/>
              <w:right w:val="single" w:sz="4" w:space="0" w:color="auto"/>
            </w:tcBorders>
            <w:shd w:val="clear" w:color="auto" w:fill="E2EFDA"/>
            <w:noWrap/>
            <w:vAlign w:val="center"/>
            <w:hideMark/>
          </w:tcPr>
          <w:p w:rsidR="007B285A" w:rsidRDefault="00712C2D" w:rsidP="007B285A">
            <w:pPr>
              <w:jc w:val="right"/>
              <w:rPr>
                <w:rFonts w:ascii="Arial" w:hAnsi="Arial" w:cs="Arial"/>
                <w:color w:val="000000"/>
                <w:sz w:val="18"/>
                <w:szCs w:val="18"/>
              </w:rPr>
            </w:pPr>
            <w:r>
              <w:rPr>
                <w:rFonts w:ascii="Arial" w:hAnsi="Arial" w:cs="Arial"/>
                <w:color w:val="000000"/>
                <w:sz w:val="18"/>
                <w:szCs w:val="18"/>
              </w:rPr>
              <w:t>300.113,32</w:t>
            </w:r>
          </w:p>
        </w:tc>
      </w:tr>
    </w:tbl>
    <w:p w:rsidR="00EF25FE" w:rsidRDefault="00EF25FE" w:rsidP="00EF25FE">
      <w:pPr>
        <w:ind w:firstLine="708"/>
        <w:jc w:val="both"/>
        <w:rPr>
          <w:rFonts w:ascii="Arial" w:hAnsi="Arial" w:cs="Arial"/>
          <w:sz w:val="20"/>
          <w:szCs w:val="20"/>
          <w:lang w:eastAsia="en-US"/>
        </w:rPr>
      </w:pPr>
    </w:p>
    <w:tbl>
      <w:tblPr>
        <w:tblW w:w="10440" w:type="dxa"/>
        <w:tblInd w:w="113" w:type="dxa"/>
        <w:tblLook w:val="04A0" w:firstRow="1" w:lastRow="0" w:firstColumn="1" w:lastColumn="0" w:noHBand="0" w:noVBand="1"/>
      </w:tblPr>
      <w:tblGrid>
        <w:gridCol w:w="760"/>
        <w:gridCol w:w="2637"/>
        <w:gridCol w:w="1730"/>
        <w:gridCol w:w="1473"/>
        <w:gridCol w:w="1900"/>
        <w:gridCol w:w="1940"/>
      </w:tblGrid>
      <w:tr w:rsidR="00EF25FE" w:rsidTr="00E66DDF">
        <w:trPr>
          <w:trHeight w:val="630"/>
        </w:trPr>
        <w:tc>
          <w:tcPr>
            <w:tcW w:w="76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rsidR="00EF25FE" w:rsidRDefault="00EF25FE" w:rsidP="00A44ADC">
            <w:pPr>
              <w:jc w:val="center"/>
              <w:rPr>
                <w:rFonts w:ascii="Arial" w:hAnsi="Arial" w:cs="Arial"/>
                <w:color w:val="000000"/>
                <w:sz w:val="18"/>
                <w:szCs w:val="18"/>
              </w:rPr>
            </w:pPr>
            <w:r>
              <w:rPr>
                <w:rFonts w:ascii="Arial" w:hAnsi="Arial" w:cs="Arial"/>
                <w:color w:val="000000"/>
                <w:sz w:val="18"/>
                <w:szCs w:val="18"/>
              </w:rPr>
              <w:t>R.br.</w:t>
            </w:r>
          </w:p>
        </w:tc>
        <w:tc>
          <w:tcPr>
            <w:tcW w:w="2637" w:type="dxa"/>
            <w:tcBorders>
              <w:top w:val="single" w:sz="4" w:space="0" w:color="auto"/>
              <w:left w:val="nil"/>
              <w:bottom w:val="single" w:sz="4" w:space="0" w:color="auto"/>
              <w:right w:val="single" w:sz="4" w:space="0" w:color="auto"/>
            </w:tcBorders>
            <w:shd w:val="clear" w:color="auto" w:fill="E2EFDA"/>
            <w:noWrap/>
            <w:vAlign w:val="center"/>
            <w:hideMark/>
          </w:tcPr>
          <w:p w:rsidR="00EF25FE" w:rsidRDefault="00EF25FE" w:rsidP="00A44ADC">
            <w:pPr>
              <w:jc w:val="center"/>
              <w:rPr>
                <w:rFonts w:ascii="Arial" w:hAnsi="Arial" w:cs="Arial"/>
                <w:color w:val="000000"/>
                <w:sz w:val="18"/>
                <w:szCs w:val="18"/>
              </w:rPr>
            </w:pPr>
            <w:r>
              <w:rPr>
                <w:rFonts w:ascii="Arial" w:hAnsi="Arial" w:cs="Arial"/>
                <w:color w:val="000000"/>
                <w:sz w:val="18"/>
                <w:szCs w:val="18"/>
              </w:rPr>
              <w:t>Naziv pravne osobe</w:t>
            </w:r>
          </w:p>
        </w:tc>
        <w:tc>
          <w:tcPr>
            <w:tcW w:w="1730" w:type="dxa"/>
            <w:tcBorders>
              <w:top w:val="single" w:sz="4" w:space="0" w:color="auto"/>
              <w:left w:val="nil"/>
              <w:bottom w:val="single" w:sz="4" w:space="0" w:color="auto"/>
              <w:right w:val="single" w:sz="4" w:space="0" w:color="auto"/>
            </w:tcBorders>
            <w:shd w:val="clear" w:color="auto" w:fill="E2EFDA"/>
            <w:noWrap/>
            <w:vAlign w:val="center"/>
            <w:hideMark/>
          </w:tcPr>
          <w:p w:rsidR="00EF25FE" w:rsidRDefault="00EF25FE" w:rsidP="00A44ADC">
            <w:pPr>
              <w:jc w:val="center"/>
              <w:rPr>
                <w:rFonts w:ascii="Arial" w:hAnsi="Arial" w:cs="Arial"/>
                <w:color w:val="000000"/>
                <w:sz w:val="18"/>
                <w:szCs w:val="18"/>
              </w:rPr>
            </w:pPr>
            <w:r>
              <w:rPr>
                <w:rFonts w:ascii="Arial" w:hAnsi="Arial" w:cs="Arial"/>
                <w:color w:val="000000"/>
                <w:sz w:val="18"/>
                <w:szCs w:val="18"/>
              </w:rPr>
              <w:t>stanje 1.1.</w:t>
            </w:r>
          </w:p>
        </w:tc>
        <w:tc>
          <w:tcPr>
            <w:tcW w:w="1473" w:type="dxa"/>
            <w:tcBorders>
              <w:top w:val="single" w:sz="4" w:space="0" w:color="auto"/>
              <w:left w:val="nil"/>
              <w:bottom w:val="single" w:sz="4" w:space="0" w:color="auto"/>
              <w:right w:val="single" w:sz="4" w:space="0" w:color="auto"/>
            </w:tcBorders>
            <w:shd w:val="clear" w:color="auto" w:fill="E2EFDA"/>
            <w:noWrap/>
            <w:vAlign w:val="center"/>
            <w:hideMark/>
          </w:tcPr>
          <w:p w:rsidR="00EF25FE" w:rsidRDefault="00E66DDF" w:rsidP="00A44ADC">
            <w:pPr>
              <w:jc w:val="center"/>
              <w:rPr>
                <w:rFonts w:ascii="Arial" w:hAnsi="Arial" w:cs="Arial"/>
                <w:color w:val="000000"/>
                <w:sz w:val="18"/>
                <w:szCs w:val="18"/>
              </w:rPr>
            </w:pPr>
            <w:r>
              <w:rPr>
                <w:rFonts w:ascii="Arial" w:hAnsi="Arial" w:cs="Arial"/>
                <w:color w:val="000000"/>
                <w:sz w:val="18"/>
                <w:szCs w:val="18"/>
              </w:rPr>
              <w:t xml:space="preserve">Obveze za </w:t>
            </w:r>
            <w:r w:rsidR="00EF25FE">
              <w:rPr>
                <w:rFonts w:ascii="Arial" w:hAnsi="Arial" w:cs="Arial"/>
                <w:color w:val="000000"/>
                <w:sz w:val="18"/>
                <w:szCs w:val="18"/>
              </w:rPr>
              <w:t>kamate</w:t>
            </w:r>
          </w:p>
        </w:tc>
        <w:tc>
          <w:tcPr>
            <w:tcW w:w="1900" w:type="dxa"/>
            <w:tcBorders>
              <w:top w:val="single" w:sz="4" w:space="0" w:color="auto"/>
              <w:left w:val="nil"/>
              <w:bottom w:val="single" w:sz="4" w:space="0" w:color="auto"/>
              <w:right w:val="single" w:sz="4" w:space="0" w:color="auto"/>
            </w:tcBorders>
            <w:shd w:val="clear" w:color="auto" w:fill="E2EFDA"/>
            <w:noWrap/>
            <w:vAlign w:val="center"/>
            <w:hideMark/>
          </w:tcPr>
          <w:p w:rsidR="00E66DDF" w:rsidRDefault="00E66DDF" w:rsidP="00A44ADC">
            <w:pPr>
              <w:jc w:val="center"/>
              <w:rPr>
                <w:rFonts w:ascii="Arial" w:hAnsi="Arial" w:cs="Arial"/>
                <w:color w:val="000000"/>
                <w:sz w:val="18"/>
                <w:szCs w:val="18"/>
              </w:rPr>
            </w:pPr>
            <w:r>
              <w:rPr>
                <w:rFonts w:ascii="Arial" w:hAnsi="Arial" w:cs="Arial"/>
                <w:color w:val="000000"/>
                <w:sz w:val="18"/>
                <w:szCs w:val="18"/>
              </w:rPr>
              <w:t xml:space="preserve">Dospjele, </w:t>
            </w:r>
          </w:p>
          <w:p w:rsidR="00EF25FE" w:rsidRDefault="00EF25FE" w:rsidP="00A44ADC">
            <w:pPr>
              <w:jc w:val="center"/>
              <w:rPr>
                <w:rFonts w:ascii="Arial" w:hAnsi="Arial" w:cs="Arial"/>
                <w:color w:val="000000"/>
                <w:sz w:val="18"/>
                <w:szCs w:val="18"/>
              </w:rPr>
            </w:pPr>
            <w:r>
              <w:rPr>
                <w:rFonts w:ascii="Arial" w:hAnsi="Arial" w:cs="Arial"/>
                <w:color w:val="000000"/>
                <w:sz w:val="18"/>
                <w:szCs w:val="18"/>
              </w:rPr>
              <w:t>plaćene kamate</w:t>
            </w:r>
          </w:p>
        </w:tc>
        <w:tc>
          <w:tcPr>
            <w:tcW w:w="1940" w:type="dxa"/>
            <w:tcBorders>
              <w:top w:val="single" w:sz="4" w:space="0" w:color="auto"/>
              <w:left w:val="nil"/>
              <w:bottom w:val="single" w:sz="4" w:space="0" w:color="auto"/>
              <w:right w:val="single" w:sz="4" w:space="0" w:color="auto"/>
            </w:tcBorders>
            <w:shd w:val="clear" w:color="auto" w:fill="E2EFDA"/>
            <w:noWrap/>
            <w:vAlign w:val="center"/>
            <w:hideMark/>
          </w:tcPr>
          <w:p w:rsidR="00EF25FE" w:rsidRDefault="00EF25FE" w:rsidP="00A44ADC">
            <w:pPr>
              <w:jc w:val="center"/>
              <w:rPr>
                <w:rFonts w:ascii="Arial" w:hAnsi="Arial" w:cs="Arial"/>
                <w:color w:val="000000"/>
                <w:sz w:val="18"/>
                <w:szCs w:val="18"/>
              </w:rPr>
            </w:pPr>
            <w:r>
              <w:rPr>
                <w:rFonts w:ascii="Arial" w:hAnsi="Arial" w:cs="Arial"/>
                <w:color w:val="000000"/>
                <w:sz w:val="18"/>
                <w:szCs w:val="18"/>
              </w:rPr>
              <w:t xml:space="preserve">stanje </w:t>
            </w:r>
            <w:r w:rsidR="007B285A">
              <w:rPr>
                <w:rFonts w:ascii="Arial" w:hAnsi="Arial" w:cs="Arial"/>
                <w:color w:val="000000"/>
                <w:sz w:val="18"/>
                <w:szCs w:val="18"/>
              </w:rPr>
              <w:t>3</w:t>
            </w:r>
            <w:r w:rsidR="00712C2D">
              <w:rPr>
                <w:rFonts w:ascii="Arial" w:hAnsi="Arial" w:cs="Arial"/>
                <w:color w:val="000000"/>
                <w:sz w:val="18"/>
                <w:szCs w:val="18"/>
              </w:rPr>
              <w:t>1</w:t>
            </w:r>
            <w:r>
              <w:rPr>
                <w:rFonts w:ascii="Arial" w:hAnsi="Arial" w:cs="Arial"/>
                <w:color w:val="000000"/>
                <w:sz w:val="18"/>
                <w:szCs w:val="18"/>
              </w:rPr>
              <w:t>.</w:t>
            </w:r>
            <w:r w:rsidR="00712C2D">
              <w:rPr>
                <w:rFonts w:ascii="Arial" w:hAnsi="Arial" w:cs="Arial"/>
                <w:color w:val="000000"/>
                <w:sz w:val="18"/>
                <w:szCs w:val="18"/>
              </w:rPr>
              <w:t>12</w:t>
            </w:r>
            <w:r>
              <w:rPr>
                <w:rFonts w:ascii="Arial" w:hAnsi="Arial" w:cs="Arial"/>
                <w:color w:val="000000"/>
                <w:sz w:val="18"/>
                <w:szCs w:val="18"/>
              </w:rPr>
              <w:t>.</w:t>
            </w:r>
          </w:p>
        </w:tc>
      </w:tr>
      <w:tr w:rsidR="00EF25FE" w:rsidTr="00E66DDF">
        <w:trPr>
          <w:trHeight w:val="480"/>
        </w:trPr>
        <w:tc>
          <w:tcPr>
            <w:tcW w:w="760" w:type="dxa"/>
            <w:tcBorders>
              <w:top w:val="nil"/>
              <w:left w:val="single" w:sz="4" w:space="0" w:color="auto"/>
              <w:bottom w:val="single" w:sz="4" w:space="0" w:color="auto"/>
              <w:right w:val="single" w:sz="4" w:space="0" w:color="auto"/>
            </w:tcBorders>
            <w:noWrap/>
            <w:vAlign w:val="center"/>
            <w:hideMark/>
          </w:tcPr>
          <w:p w:rsidR="00EF25FE" w:rsidRDefault="00EF25FE" w:rsidP="00A44ADC">
            <w:pPr>
              <w:jc w:val="center"/>
              <w:rPr>
                <w:rFonts w:ascii="Arial" w:hAnsi="Arial" w:cs="Arial"/>
                <w:color w:val="000000"/>
                <w:sz w:val="18"/>
                <w:szCs w:val="18"/>
              </w:rPr>
            </w:pPr>
            <w:r>
              <w:rPr>
                <w:rFonts w:ascii="Arial" w:hAnsi="Arial" w:cs="Arial"/>
                <w:color w:val="000000"/>
                <w:sz w:val="18"/>
                <w:szCs w:val="18"/>
              </w:rPr>
              <w:t>1</w:t>
            </w:r>
          </w:p>
        </w:tc>
        <w:tc>
          <w:tcPr>
            <w:tcW w:w="2637" w:type="dxa"/>
            <w:tcBorders>
              <w:top w:val="nil"/>
              <w:left w:val="nil"/>
              <w:bottom w:val="single" w:sz="4" w:space="0" w:color="auto"/>
              <w:right w:val="single" w:sz="4" w:space="0" w:color="auto"/>
            </w:tcBorders>
            <w:noWrap/>
            <w:vAlign w:val="center"/>
            <w:hideMark/>
          </w:tcPr>
          <w:p w:rsidR="00EF25FE" w:rsidRDefault="00EF25FE" w:rsidP="00A44ADC">
            <w:pPr>
              <w:rPr>
                <w:rFonts w:ascii="Arial" w:hAnsi="Arial" w:cs="Arial"/>
                <w:color w:val="000000"/>
                <w:sz w:val="18"/>
                <w:szCs w:val="18"/>
              </w:rPr>
            </w:pPr>
            <w:r>
              <w:rPr>
                <w:rFonts w:ascii="Arial" w:hAnsi="Arial" w:cs="Arial"/>
                <w:color w:val="000000"/>
                <w:sz w:val="18"/>
                <w:szCs w:val="18"/>
              </w:rPr>
              <w:t>HBOR (za Modernizaciju JR)</w:t>
            </w:r>
          </w:p>
        </w:tc>
        <w:tc>
          <w:tcPr>
            <w:tcW w:w="1730" w:type="dxa"/>
            <w:tcBorders>
              <w:top w:val="nil"/>
              <w:left w:val="nil"/>
              <w:bottom w:val="single" w:sz="4" w:space="0" w:color="auto"/>
              <w:right w:val="single" w:sz="4" w:space="0" w:color="auto"/>
            </w:tcBorders>
            <w:noWrap/>
            <w:vAlign w:val="center"/>
            <w:hideMark/>
          </w:tcPr>
          <w:p w:rsidR="00EF25FE" w:rsidRDefault="00EF25FE" w:rsidP="00A44ADC">
            <w:pPr>
              <w:jc w:val="right"/>
              <w:rPr>
                <w:rFonts w:ascii="Arial" w:hAnsi="Arial" w:cs="Arial"/>
                <w:color w:val="000000"/>
                <w:sz w:val="18"/>
                <w:szCs w:val="18"/>
              </w:rPr>
            </w:pPr>
            <w:r>
              <w:rPr>
                <w:rFonts w:ascii="Arial" w:hAnsi="Arial" w:cs="Arial"/>
                <w:color w:val="000000"/>
                <w:sz w:val="18"/>
                <w:szCs w:val="18"/>
              </w:rPr>
              <w:t>0,00</w:t>
            </w:r>
          </w:p>
        </w:tc>
        <w:tc>
          <w:tcPr>
            <w:tcW w:w="1473" w:type="dxa"/>
            <w:tcBorders>
              <w:top w:val="nil"/>
              <w:left w:val="nil"/>
              <w:bottom w:val="single" w:sz="4" w:space="0" w:color="auto"/>
              <w:right w:val="single" w:sz="4" w:space="0" w:color="auto"/>
            </w:tcBorders>
            <w:noWrap/>
            <w:vAlign w:val="center"/>
            <w:hideMark/>
          </w:tcPr>
          <w:p w:rsidR="00EF25FE" w:rsidRDefault="00E66DDF" w:rsidP="00A44ADC">
            <w:pPr>
              <w:jc w:val="right"/>
              <w:rPr>
                <w:rFonts w:ascii="Arial" w:hAnsi="Arial" w:cs="Arial"/>
                <w:color w:val="000000"/>
                <w:sz w:val="18"/>
                <w:szCs w:val="18"/>
              </w:rPr>
            </w:pPr>
            <w:r>
              <w:rPr>
                <w:rFonts w:ascii="Arial" w:hAnsi="Arial" w:cs="Arial"/>
                <w:color w:val="000000"/>
                <w:sz w:val="18"/>
                <w:szCs w:val="18"/>
              </w:rPr>
              <w:t>28.536,28</w:t>
            </w:r>
          </w:p>
        </w:tc>
        <w:tc>
          <w:tcPr>
            <w:tcW w:w="1900" w:type="dxa"/>
            <w:tcBorders>
              <w:top w:val="nil"/>
              <w:left w:val="nil"/>
              <w:bottom w:val="single" w:sz="4" w:space="0" w:color="auto"/>
              <w:right w:val="single" w:sz="4" w:space="0" w:color="auto"/>
            </w:tcBorders>
            <w:noWrap/>
            <w:vAlign w:val="center"/>
            <w:hideMark/>
          </w:tcPr>
          <w:p w:rsidR="00EF25FE" w:rsidRDefault="00712C2D" w:rsidP="00A44ADC">
            <w:pPr>
              <w:jc w:val="right"/>
              <w:rPr>
                <w:rFonts w:ascii="Arial" w:hAnsi="Arial" w:cs="Arial"/>
                <w:color w:val="000000"/>
                <w:sz w:val="18"/>
                <w:szCs w:val="18"/>
              </w:rPr>
            </w:pPr>
            <w:r>
              <w:rPr>
                <w:rFonts w:ascii="Arial" w:hAnsi="Arial" w:cs="Arial"/>
                <w:color w:val="000000"/>
                <w:sz w:val="18"/>
                <w:szCs w:val="18"/>
              </w:rPr>
              <w:t>7.417,00</w:t>
            </w:r>
          </w:p>
        </w:tc>
        <w:tc>
          <w:tcPr>
            <w:tcW w:w="1940" w:type="dxa"/>
            <w:tcBorders>
              <w:top w:val="nil"/>
              <w:left w:val="nil"/>
              <w:bottom w:val="single" w:sz="4" w:space="0" w:color="auto"/>
              <w:right w:val="single" w:sz="4" w:space="0" w:color="auto"/>
            </w:tcBorders>
            <w:noWrap/>
            <w:vAlign w:val="center"/>
            <w:hideMark/>
          </w:tcPr>
          <w:p w:rsidR="00EF25FE" w:rsidRDefault="00712C2D" w:rsidP="00A44ADC">
            <w:pPr>
              <w:jc w:val="right"/>
              <w:rPr>
                <w:rFonts w:ascii="Arial" w:hAnsi="Arial" w:cs="Arial"/>
                <w:color w:val="000000"/>
                <w:sz w:val="18"/>
                <w:szCs w:val="18"/>
              </w:rPr>
            </w:pPr>
            <w:r>
              <w:rPr>
                <w:rFonts w:ascii="Arial" w:hAnsi="Arial" w:cs="Arial"/>
                <w:color w:val="000000"/>
                <w:sz w:val="18"/>
                <w:szCs w:val="18"/>
              </w:rPr>
              <w:t>21.119,28</w:t>
            </w:r>
          </w:p>
        </w:tc>
      </w:tr>
      <w:tr w:rsidR="00EF25FE" w:rsidTr="00E66DDF">
        <w:trPr>
          <w:trHeight w:val="480"/>
        </w:trPr>
        <w:tc>
          <w:tcPr>
            <w:tcW w:w="760" w:type="dxa"/>
            <w:tcBorders>
              <w:top w:val="nil"/>
              <w:left w:val="single" w:sz="4" w:space="0" w:color="auto"/>
              <w:bottom w:val="single" w:sz="4" w:space="0" w:color="auto"/>
              <w:right w:val="single" w:sz="4" w:space="0" w:color="auto"/>
            </w:tcBorders>
            <w:shd w:val="clear" w:color="auto" w:fill="E2EFDA"/>
            <w:noWrap/>
            <w:vAlign w:val="center"/>
            <w:hideMark/>
          </w:tcPr>
          <w:p w:rsidR="00EF25FE" w:rsidRDefault="00EF25FE" w:rsidP="00A44ADC">
            <w:pPr>
              <w:rPr>
                <w:rFonts w:ascii="Arial" w:hAnsi="Arial" w:cs="Arial"/>
                <w:color w:val="000000"/>
                <w:sz w:val="18"/>
                <w:szCs w:val="18"/>
              </w:rPr>
            </w:pPr>
            <w:r>
              <w:rPr>
                <w:rFonts w:ascii="Arial" w:hAnsi="Arial" w:cs="Arial"/>
                <w:color w:val="000000"/>
                <w:sz w:val="18"/>
                <w:szCs w:val="18"/>
              </w:rPr>
              <w:t> </w:t>
            </w:r>
          </w:p>
        </w:tc>
        <w:tc>
          <w:tcPr>
            <w:tcW w:w="2637" w:type="dxa"/>
            <w:tcBorders>
              <w:top w:val="nil"/>
              <w:left w:val="nil"/>
              <w:bottom w:val="single" w:sz="4" w:space="0" w:color="auto"/>
              <w:right w:val="single" w:sz="4" w:space="0" w:color="auto"/>
            </w:tcBorders>
            <w:shd w:val="clear" w:color="auto" w:fill="E2EFDA"/>
            <w:noWrap/>
            <w:vAlign w:val="center"/>
            <w:hideMark/>
          </w:tcPr>
          <w:p w:rsidR="00EF25FE" w:rsidRDefault="00EF25FE" w:rsidP="00A44ADC">
            <w:pPr>
              <w:rPr>
                <w:rFonts w:ascii="Arial" w:hAnsi="Arial" w:cs="Arial"/>
                <w:color w:val="000000"/>
                <w:sz w:val="18"/>
                <w:szCs w:val="18"/>
              </w:rPr>
            </w:pPr>
            <w:r>
              <w:rPr>
                <w:rFonts w:ascii="Arial" w:hAnsi="Arial" w:cs="Arial"/>
                <w:color w:val="000000"/>
                <w:sz w:val="18"/>
                <w:szCs w:val="18"/>
              </w:rPr>
              <w:t>Ukupno</w:t>
            </w:r>
          </w:p>
        </w:tc>
        <w:tc>
          <w:tcPr>
            <w:tcW w:w="1730" w:type="dxa"/>
            <w:tcBorders>
              <w:top w:val="nil"/>
              <w:left w:val="nil"/>
              <w:bottom w:val="single" w:sz="4" w:space="0" w:color="auto"/>
              <w:right w:val="single" w:sz="4" w:space="0" w:color="auto"/>
            </w:tcBorders>
            <w:shd w:val="clear" w:color="auto" w:fill="E2EFDA"/>
            <w:noWrap/>
            <w:vAlign w:val="center"/>
            <w:hideMark/>
          </w:tcPr>
          <w:p w:rsidR="00EF25FE" w:rsidRDefault="00EF25FE" w:rsidP="00A44ADC">
            <w:pPr>
              <w:jc w:val="right"/>
              <w:rPr>
                <w:rFonts w:ascii="Arial" w:hAnsi="Arial" w:cs="Arial"/>
                <w:color w:val="000000"/>
                <w:sz w:val="18"/>
                <w:szCs w:val="18"/>
              </w:rPr>
            </w:pPr>
            <w:r>
              <w:rPr>
                <w:rFonts w:ascii="Arial" w:hAnsi="Arial" w:cs="Arial"/>
                <w:color w:val="000000"/>
                <w:sz w:val="18"/>
                <w:szCs w:val="18"/>
              </w:rPr>
              <w:t>0,00</w:t>
            </w:r>
          </w:p>
        </w:tc>
        <w:tc>
          <w:tcPr>
            <w:tcW w:w="1473" w:type="dxa"/>
            <w:tcBorders>
              <w:top w:val="nil"/>
              <w:left w:val="nil"/>
              <w:bottom w:val="single" w:sz="4" w:space="0" w:color="auto"/>
              <w:right w:val="single" w:sz="4" w:space="0" w:color="auto"/>
            </w:tcBorders>
            <w:shd w:val="clear" w:color="auto" w:fill="E2EFDA"/>
            <w:noWrap/>
            <w:vAlign w:val="center"/>
            <w:hideMark/>
          </w:tcPr>
          <w:p w:rsidR="00EF25FE" w:rsidRDefault="00E66DDF" w:rsidP="00A44ADC">
            <w:pPr>
              <w:jc w:val="right"/>
              <w:rPr>
                <w:rFonts w:ascii="Arial" w:hAnsi="Arial" w:cs="Arial"/>
                <w:color w:val="000000"/>
                <w:sz w:val="18"/>
                <w:szCs w:val="18"/>
              </w:rPr>
            </w:pPr>
            <w:r>
              <w:rPr>
                <w:rFonts w:ascii="Arial" w:hAnsi="Arial" w:cs="Arial"/>
                <w:color w:val="000000"/>
                <w:sz w:val="18"/>
                <w:szCs w:val="18"/>
              </w:rPr>
              <w:t>28.536,28</w:t>
            </w:r>
          </w:p>
        </w:tc>
        <w:tc>
          <w:tcPr>
            <w:tcW w:w="1900" w:type="dxa"/>
            <w:tcBorders>
              <w:top w:val="nil"/>
              <w:left w:val="nil"/>
              <w:bottom w:val="single" w:sz="4" w:space="0" w:color="auto"/>
              <w:right w:val="single" w:sz="4" w:space="0" w:color="auto"/>
            </w:tcBorders>
            <w:shd w:val="clear" w:color="auto" w:fill="E2EFDA"/>
            <w:noWrap/>
            <w:vAlign w:val="center"/>
            <w:hideMark/>
          </w:tcPr>
          <w:p w:rsidR="00EF25FE" w:rsidRDefault="00712C2D" w:rsidP="00A44ADC">
            <w:pPr>
              <w:jc w:val="right"/>
              <w:rPr>
                <w:rFonts w:ascii="Arial" w:hAnsi="Arial" w:cs="Arial"/>
                <w:color w:val="000000"/>
                <w:sz w:val="18"/>
                <w:szCs w:val="18"/>
              </w:rPr>
            </w:pPr>
            <w:r>
              <w:rPr>
                <w:rFonts w:ascii="Arial" w:hAnsi="Arial" w:cs="Arial"/>
                <w:color w:val="000000"/>
                <w:sz w:val="18"/>
                <w:szCs w:val="18"/>
              </w:rPr>
              <w:t>7.417,00</w:t>
            </w:r>
          </w:p>
        </w:tc>
        <w:tc>
          <w:tcPr>
            <w:tcW w:w="1940" w:type="dxa"/>
            <w:tcBorders>
              <w:top w:val="nil"/>
              <w:left w:val="nil"/>
              <w:bottom w:val="single" w:sz="4" w:space="0" w:color="auto"/>
              <w:right w:val="single" w:sz="4" w:space="0" w:color="auto"/>
            </w:tcBorders>
            <w:shd w:val="clear" w:color="auto" w:fill="E2EFDA"/>
            <w:noWrap/>
            <w:vAlign w:val="center"/>
            <w:hideMark/>
          </w:tcPr>
          <w:p w:rsidR="00EF25FE" w:rsidRDefault="00712C2D" w:rsidP="00A44ADC">
            <w:pPr>
              <w:jc w:val="right"/>
              <w:rPr>
                <w:rFonts w:ascii="Arial" w:hAnsi="Arial" w:cs="Arial"/>
                <w:color w:val="000000"/>
                <w:sz w:val="18"/>
                <w:szCs w:val="18"/>
              </w:rPr>
            </w:pPr>
            <w:r>
              <w:rPr>
                <w:rFonts w:ascii="Arial" w:hAnsi="Arial" w:cs="Arial"/>
                <w:color w:val="000000"/>
                <w:sz w:val="18"/>
                <w:szCs w:val="18"/>
              </w:rPr>
              <w:t>21.119,28</w:t>
            </w:r>
          </w:p>
        </w:tc>
      </w:tr>
    </w:tbl>
    <w:p w:rsidR="008D5BAC" w:rsidRDefault="008D5BAC" w:rsidP="002A71CB"/>
    <w:p w:rsidR="009D00AE" w:rsidRDefault="00B46835" w:rsidP="002A71CB">
      <w:r>
        <w:t>Sukladno čl. 123 st. 5. Zakona o proračunu, Općina je</w:t>
      </w:r>
      <w:r w:rsidR="00274BD1">
        <w:t xml:space="preserve"> dužna izvještavati Ministarstvo financija</w:t>
      </w:r>
      <w:r>
        <w:t xml:space="preserve"> (na obrascu IZJS - Izvješće o dugoročnom zaduženju/jamstvu/suglasnosti)</w:t>
      </w:r>
      <w:r w:rsidR="00274BD1">
        <w:t xml:space="preserve"> unutar proračunske godine, tromjesečno, do 10. u mjesecu za prethodno izvještajno razdoblje o otplati duga na temelju zaduženja za koji je dobila suglasnost Vlade odnosno </w:t>
      </w:r>
      <w:r w:rsidR="004354BA">
        <w:t>M</w:t>
      </w:r>
      <w:r w:rsidR="00274BD1">
        <w:t>inistra financija.</w:t>
      </w:r>
    </w:p>
    <w:p w:rsidR="006877AD" w:rsidRDefault="006877AD" w:rsidP="002A71CB">
      <w:pPr>
        <w:rPr>
          <w:b/>
          <w:sz w:val="22"/>
          <w:szCs w:val="22"/>
        </w:rPr>
      </w:pPr>
    </w:p>
    <w:p w:rsidR="006877AD" w:rsidRPr="00182F2A" w:rsidRDefault="006877AD" w:rsidP="006877AD">
      <w:pPr>
        <w:pStyle w:val="BodyText"/>
        <w:tabs>
          <w:tab w:val="right" w:leader="dot" w:pos="9072"/>
        </w:tabs>
        <w:jc w:val="left"/>
        <w:rPr>
          <w:b/>
          <w:u w:val="single"/>
        </w:rPr>
      </w:pPr>
      <w:r>
        <w:rPr>
          <w:b/>
          <w:u w:val="single"/>
        </w:rPr>
        <w:t>IV.3</w:t>
      </w:r>
      <w:r w:rsidRPr="00182F2A">
        <w:rPr>
          <w:b/>
          <w:u w:val="single"/>
        </w:rPr>
        <w:t>.</w:t>
      </w:r>
      <w:r>
        <w:rPr>
          <w:b/>
          <w:u w:val="single"/>
        </w:rPr>
        <w:t>)</w:t>
      </w:r>
      <w:r w:rsidRPr="00182F2A">
        <w:rPr>
          <w:b/>
          <w:u w:val="single"/>
        </w:rPr>
        <w:t xml:space="preserve"> Izvještaj o danim jamstvima i </w:t>
      </w:r>
      <w:r>
        <w:rPr>
          <w:b/>
          <w:u w:val="single"/>
        </w:rPr>
        <w:t>plaćanjima po protestiranim</w:t>
      </w:r>
      <w:r w:rsidRPr="00182F2A">
        <w:rPr>
          <w:b/>
          <w:u w:val="single"/>
        </w:rPr>
        <w:t xml:space="preserve"> jamstvima</w:t>
      </w:r>
    </w:p>
    <w:p w:rsidR="006877AD" w:rsidRPr="009A0EE3" w:rsidRDefault="006877AD" w:rsidP="006877AD">
      <w:pPr>
        <w:pStyle w:val="BodyText"/>
        <w:tabs>
          <w:tab w:val="right" w:leader="dot" w:pos="9072"/>
        </w:tabs>
      </w:pPr>
    </w:p>
    <w:p w:rsidR="006877AD" w:rsidRPr="004073C6" w:rsidRDefault="006877AD" w:rsidP="006877AD">
      <w:pPr>
        <w:pStyle w:val="BodyText"/>
        <w:tabs>
          <w:tab w:val="right" w:leader="dot" w:pos="9072"/>
        </w:tabs>
        <w:rPr>
          <w:u w:val="single"/>
        </w:rPr>
      </w:pPr>
      <w:r w:rsidRPr="002249C6">
        <w:rPr>
          <w:u w:val="single"/>
        </w:rPr>
        <w:t>Općina Vela Luka</w:t>
      </w:r>
      <w:r>
        <w:rPr>
          <w:u w:val="single"/>
        </w:rPr>
        <w:t xml:space="preserve"> u razdoblju siječanj-prosinac 2025</w:t>
      </w:r>
      <w:r w:rsidRPr="002249C6">
        <w:rPr>
          <w:u w:val="single"/>
        </w:rPr>
        <w:t>.</w:t>
      </w:r>
      <w:r>
        <w:rPr>
          <w:u w:val="single"/>
        </w:rPr>
        <w:t xml:space="preserve"> godine</w:t>
      </w:r>
      <w:r w:rsidRPr="002249C6">
        <w:rPr>
          <w:u w:val="single"/>
        </w:rPr>
        <w:t xml:space="preserve"> </w:t>
      </w:r>
      <w:r>
        <w:rPr>
          <w:u w:val="single"/>
        </w:rPr>
        <w:t>nije davala jamstva.</w:t>
      </w:r>
    </w:p>
    <w:p w:rsidR="006877AD" w:rsidRDefault="006877AD" w:rsidP="006877AD">
      <w:pPr>
        <w:pStyle w:val="BodyText"/>
        <w:tabs>
          <w:tab w:val="right" w:leader="dot" w:pos="9072"/>
        </w:tabs>
      </w:pPr>
    </w:p>
    <w:p w:rsidR="006877AD" w:rsidRDefault="006877AD" w:rsidP="006877AD">
      <w:pPr>
        <w:pStyle w:val="BodyText"/>
        <w:tabs>
          <w:tab w:val="right" w:leader="dot" w:pos="9072"/>
        </w:tabs>
      </w:pPr>
      <w:r>
        <w:lastRenderedPageBreak/>
        <w:t xml:space="preserve">Stanje aktivnih jamstava na dan 01.01. te na dan 31.12.2025. godine je nula. </w:t>
      </w:r>
    </w:p>
    <w:p w:rsidR="006877AD" w:rsidRDefault="006877AD" w:rsidP="006877AD">
      <w:pPr>
        <w:autoSpaceDE w:val="0"/>
        <w:autoSpaceDN w:val="0"/>
        <w:adjustRightInd w:val="0"/>
      </w:pPr>
    </w:p>
    <w:p w:rsidR="006877AD" w:rsidRDefault="006877AD" w:rsidP="006877AD">
      <w:pPr>
        <w:autoSpaceDE w:val="0"/>
        <w:autoSpaceDN w:val="0"/>
        <w:adjustRightInd w:val="0"/>
      </w:pPr>
      <w:r>
        <w:t>Sukladno čl. 129. Zakona o proračunu, Općina može dati jamstvo za dugoročno zaduživanje proračunskom korisniku Općine, pravnoj osobi</w:t>
      </w:r>
      <w:r w:rsidRPr="004F49F4">
        <w:t xml:space="preserve"> u većinskom vlasništvu ili suvlasništvu Općine i </w:t>
      </w:r>
      <w:r>
        <w:t>ustanovi</w:t>
      </w:r>
      <w:r w:rsidRPr="004F49F4">
        <w:t xml:space="preserve"> čiji je osnivač Općina</w:t>
      </w:r>
      <w:r>
        <w:t xml:space="preserve">, uz prethodnu suglasnost ministra financija. Odluku o davanju jamstva </w:t>
      </w:r>
      <w:r w:rsidRPr="004F49F4">
        <w:t>donosi Općinsko vijeće.</w:t>
      </w:r>
    </w:p>
    <w:tbl>
      <w:tblPr>
        <w:tblW w:w="9118" w:type="dxa"/>
        <w:tblLook w:val="04A0" w:firstRow="1" w:lastRow="0" w:firstColumn="1" w:lastColumn="0" w:noHBand="0" w:noVBand="1"/>
      </w:tblPr>
      <w:tblGrid>
        <w:gridCol w:w="7258"/>
        <w:gridCol w:w="900"/>
        <w:gridCol w:w="960"/>
      </w:tblGrid>
      <w:tr w:rsidR="006877AD" w:rsidRPr="0037502F" w:rsidTr="007C137F">
        <w:trPr>
          <w:trHeight w:val="360"/>
        </w:trPr>
        <w:tc>
          <w:tcPr>
            <w:tcW w:w="7258" w:type="dxa"/>
            <w:tcBorders>
              <w:top w:val="nil"/>
              <w:left w:val="nil"/>
              <w:bottom w:val="nil"/>
              <w:right w:val="nil"/>
            </w:tcBorders>
            <w:shd w:val="clear" w:color="auto" w:fill="auto"/>
            <w:noWrap/>
            <w:vAlign w:val="bottom"/>
          </w:tcPr>
          <w:p w:rsidR="006877AD" w:rsidRPr="0037502F" w:rsidRDefault="006877AD" w:rsidP="007C137F">
            <w:pPr>
              <w:jc w:val="center"/>
              <w:rPr>
                <w:rFonts w:ascii="Arial" w:hAnsi="Arial" w:cs="Arial"/>
                <w:b/>
                <w:bCs/>
                <w:sz w:val="28"/>
                <w:szCs w:val="28"/>
              </w:rPr>
            </w:pPr>
          </w:p>
        </w:tc>
        <w:tc>
          <w:tcPr>
            <w:tcW w:w="900" w:type="dxa"/>
            <w:tcBorders>
              <w:top w:val="nil"/>
              <w:left w:val="nil"/>
              <w:bottom w:val="nil"/>
              <w:right w:val="nil"/>
            </w:tcBorders>
            <w:shd w:val="clear" w:color="auto" w:fill="auto"/>
            <w:noWrap/>
            <w:vAlign w:val="bottom"/>
          </w:tcPr>
          <w:p w:rsidR="006877AD" w:rsidRPr="0037502F" w:rsidRDefault="006877AD" w:rsidP="007C137F">
            <w:pPr>
              <w:jc w:val="center"/>
              <w:rPr>
                <w:rFonts w:ascii="Arial" w:hAnsi="Arial" w:cs="Arial"/>
                <w:b/>
                <w:bCs/>
                <w:sz w:val="28"/>
                <w:szCs w:val="28"/>
              </w:rPr>
            </w:pPr>
          </w:p>
        </w:tc>
        <w:tc>
          <w:tcPr>
            <w:tcW w:w="960" w:type="dxa"/>
            <w:tcBorders>
              <w:top w:val="nil"/>
              <w:left w:val="nil"/>
              <w:bottom w:val="nil"/>
              <w:right w:val="nil"/>
            </w:tcBorders>
            <w:shd w:val="clear" w:color="auto" w:fill="auto"/>
            <w:noWrap/>
            <w:vAlign w:val="bottom"/>
          </w:tcPr>
          <w:p w:rsidR="006877AD" w:rsidRPr="0037502F" w:rsidRDefault="006877AD" w:rsidP="007C137F">
            <w:pPr>
              <w:rPr>
                <w:sz w:val="20"/>
                <w:szCs w:val="20"/>
              </w:rPr>
            </w:pPr>
          </w:p>
        </w:tc>
      </w:tr>
    </w:tbl>
    <w:p w:rsidR="006877AD" w:rsidRPr="000D68FB" w:rsidRDefault="006877AD" w:rsidP="006877AD">
      <w:pPr>
        <w:rPr>
          <w:b/>
          <w:u w:val="single"/>
        </w:rPr>
      </w:pPr>
      <w:r>
        <w:rPr>
          <w:b/>
          <w:u w:val="single"/>
        </w:rPr>
        <w:t xml:space="preserve">IV.4.) </w:t>
      </w:r>
      <w:r w:rsidRPr="000D68FB">
        <w:rPr>
          <w:b/>
          <w:u w:val="single"/>
        </w:rPr>
        <w:t xml:space="preserve">Izvještaj o korištenju sredstava fondova Europske unije </w:t>
      </w:r>
    </w:p>
    <w:p w:rsidR="006877AD" w:rsidRDefault="006877AD" w:rsidP="006877AD">
      <w:pPr>
        <w:rPr>
          <w:b/>
        </w:rPr>
      </w:pPr>
    </w:p>
    <w:p w:rsidR="006877AD" w:rsidRDefault="006877AD" w:rsidP="006877AD">
      <w:r w:rsidRPr="00D45CA2">
        <w:rPr>
          <w:b/>
          <w:u w:val="single"/>
        </w:rPr>
        <w:t>1. Projekt Zaželi - nisi sam</w:t>
      </w:r>
      <w:r>
        <w:t xml:space="preserve"> od 04.03.2024. do 04.01.2027. </w:t>
      </w:r>
    </w:p>
    <w:p w:rsidR="006877AD" w:rsidRDefault="006877AD" w:rsidP="006877AD">
      <w:pPr>
        <w:rPr>
          <w:lang w:val="pl-PL"/>
        </w:rPr>
      </w:pPr>
    </w:p>
    <w:p w:rsidR="006877AD" w:rsidRDefault="006877AD" w:rsidP="006877AD">
      <w:pPr>
        <w:rPr>
          <w:lang w:val="pl-PL"/>
        </w:rPr>
      </w:pPr>
      <w:r>
        <w:t xml:space="preserve">U 2024. godini Općina je sklopila Ugovor o dodjeli bespovratnih sredstava za Projekt „Zaželi-nisi sam“ dana </w:t>
      </w:r>
      <w:r w:rsidRPr="005C151D">
        <w:rPr>
          <w:u w:val="single"/>
        </w:rPr>
        <w:t>04.03.2024.</w:t>
      </w:r>
      <w:r>
        <w:t xml:space="preserve"> s Ministarstvom rada, mirovinskog sustava, obitelji i socijalne politike (PT1) i Hrvatskim zavodom za zapošljavanje (PT2). Razdoblje provedbe Projekta ugovoreno je na rok od 34 mjeseca i traje do </w:t>
      </w:r>
      <w:r w:rsidRPr="00B43B1B">
        <w:rPr>
          <w:u w:val="single"/>
        </w:rPr>
        <w:t>04.01.2027.</w:t>
      </w:r>
      <w:r>
        <w:t xml:space="preserve"> </w:t>
      </w:r>
      <w:r w:rsidRPr="00376F39">
        <w:rPr>
          <w:lang w:val="pl-PL"/>
        </w:rPr>
        <w:t>Ukupno prihvatljivi troškovi Projekta iznose 495.000,00 eura. Projekt se financir</w:t>
      </w:r>
      <w:r>
        <w:rPr>
          <w:lang w:val="pl-PL"/>
        </w:rPr>
        <w:t>a</w:t>
      </w:r>
      <w:r w:rsidRPr="00376F39">
        <w:rPr>
          <w:lang w:val="pl-PL"/>
        </w:rPr>
        <w:t xml:space="preserve"> iz Europskog socijalnog fonda plus.</w:t>
      </w:r>
      <w:r>
        <w:rPr>
          <w:lang w:val="pl-PL"/>
        </w:rPr>
        <w:t xml:space="preserve"> </w:t>
      </w:r>
      <w:r w:rsidRPr="00CA4513">
        <w:rPr>
          <w:lang w:val="pl-PL"/>
        </w:rPr>
        <w:t>Koordinatorica EU projekta „Zaželi - nisi sam” raspoređena je u Upravnom odjelu za opće poslove, društvene djelatnosti i održivi razvoj Općine Vela Luka na određeno vrijeme (okvirno 34 mjeseca) s danom 09.05.2024.</w:t>
      </w:r>
      <w:r>
        <w:rPr>
          <w:lang w:val="pl-PL"/>
        </w:rPr>
        <w:t xml:space="preserve"> </w:t>
      </w:r>
    </w:p>
    <w:p w:rsidR="006877AD" w:rsidRPr="00CA4513" w:rsidRDefault="006877AD" w:rsidP="006877AD">
      <w:pPr>
        <w:rPr>
          <w:lang w:val="pl-PL"/>
        </w:rPr>
      </w:pPr>
      <w:r>
        <w:rPr>
          <w:lang w:val="pl-PL"/>
        </w:rPr>
        <w:t>S</w:t>
      </w:r>
      <w:r w:rsidRPr="00CA4513">
        <w:rPr>
          <w:lang w:val="pl-PL"/>
        </w:rPr>
        <w:t xml:space="preserve"> 11 žena, čiji je posao pružanje usluge potpore i podrške u svakodnevnom životu osobama starije životne dobi i/ili nemoćnim osobama, ugovori su sklopljeni na određeno vrijeme od 01.07.2024. do 31.12.2026. godine.</w:t>
      </w:r>
    </w:p>
    <w:p w:rsidR="006877AD" w:rsidRPr="00CA4513" w:rsidRDefault="006877AD" w:rsidP="006877AD">
      <w:pPr>
        <w:pStyle w:val="ListParagraph"/>
        <w:ind w:left="644"/>
      </w:pPr>
    </w:p>
    <w:p w:rsidR="006877AD" w:rsidRPr="006877AD" w:rsidRDefault="006877AD" w:rsidP="006877AD">
      <w:r w:rsidRPr="006877AD">
        <w:t>Za projekt „ZAŽELI - NISI SAM” u 2024. je ostvaren prihod u iznosu od 169.243,82 eura, a potrošeno je 74.542,44 eura te nam</w:t>
      </w:r>
      <w:r w:rsidR="00837D14">
        <w:t xml:space="preserve"> je</w:t>
      </w:r>
      <w:r w:rsidRPr="006877AD">
        <w:t xml:space="preserve"> osta</w:t>
      </w:r>
      <w:r w:rsidR="00837D14">
        <w:t>o</w:t>
      </w:r>
      <w:r w:rsidRPr="006877AD">
        <w:t xml:space="preserve"> višak u iznosu od 94.701,38 eura za potrošiti u 2025. godinu.</w:t>
      </w:r>
    </w:p>
    <w:p w:rsidR="006877AD" w:rsidRPr="006877AD" w:rsidRDefault="006877AD" w:rsidP="006877AD">
      <w:pPr>
        <w:rPr>
          <w:lang w:val="pl-PL"/>
        </w:rPr>
      </w:pPr>
    </w:p>
    <w:p w:rsidR="006877AD" w:rsidRDefault="006877AD" w:rsidP="006877AD">
      <w:r w:rsidRPr="006877AD">
        <w:rPr>
          <w:lang w:val="pl-PL"/>
        </w:rPr>
        <w:t xml:space="preserve">U </w:t>
      </w:r>
      <w:r>
        <w:rPr>
          <w:lang w:val="pl-PL"/>
        </w:rPr>
        <w:t>2025.</w:t>
      </w:r>
      <w:r w:rsidRPr="006877AD">
        <w:rPr>
          <w:lang w:val="pl-PL"/>
        </w:rPr>
        <w:t xml:space="preserve"> ostvareni su prihodi </w:t>
      </w:r>
      <w:r w:rsidRPr="006877AD">
        <w:t xml:space="preserve">od tekućih pomoći temeljem prijenosa EU sredstava za Projekt, u iznosu od </w:t>
      </w:r>
      <w:r>
        <w:t>105.788,41</w:t>
      </w:r>
      <w:r w:rsidRPr="006877AD">
        <w:t xml:space="preserve"> eur</w:t>
      </w:r>
      <w:r w:rsidR="009B2AE7">
        <w:t>a</w:t>
      </w:r>
      <w:r>
        <w:t>. Kad im se pribroji</w:t>
      </w:r>
      <w:r w:rsidR="00837D14">
        <w:t>o</w:t>
      </w:r>
      <w:r>
        <w:t xml:space="preserve"> preneseni višak iz 2024. </w:t>
      </w:r>
      <w:r w:rsidR="009B2AE7">
        <w:t>u iznosu od 94.701,38 eura, dobi</w:t>
      </w:r>
      <w:r w:rsidR="00837D14">
        <w:t>o</w:t>
      </w:r>
      <w:r w:rsidR="009B2AE7">
        <w:t xml:space="preserve"> se ukupni prihod raspoloživ za projekt u iznosu od 200.489,79 eura. R</w:t>
      </w:r>
      <w:r w:rsidRPr="006877AD">
        <w:t>ashodi</w:t>
      </w:r>
      <w:r w:rsidR="009B2AE7">
        <w:t xml:space="preserve"> su izvršeni u 2025. </w:t>
      </w:r>
      <w:r w:rsidRPr="006877AD">
        <w:t xml:space="preserve">u iznosu od </w:t>
      </w:r>
      <w:r w:rsidR="009B2AE7">
        <w:t>188.715,06</w:t>
      </w:r>
      <w:r w:rsidRPr="006877AD">
        <w:t xml:space="preserve"> eura. </w:t>
      </w:r>
      <w:r w:rsidR="009B2AE7">
        <w:t>O</w:t>
      </w:r>
      <w:r>
        <w:t xml:space="preserve">staje višak u iznosu od </w:t>
      </w:r>
      <w:r w:rsidR="009B2AE7">
        <w:t>11.774,73</w:t>
      </w:r>
      <w:r>
        <w:t xml:space="preserve"> eura za prenijeti u 202</w:t>
      </w:r>
      <w:r w:rsidR="009B2AE7">
        <w:t>6</w:t>
      </w:r>
      <w:r>
        <w:t>. godinu.</w:t>
      </w:r>
    </w:p>
    <w:p w:rsidR="00837D14" w:rsidRDefault="00837D14" w:rsidP="006877AD"/>
    <w:p w:rsidR="006877AD" w:rsidRDefault="00837D14" w:rsidP="002A71CB">
      <w:pPr>
        <w:rPr>
          <w:b/>
          <w:sz w:val="22"/>
          <w:szCs w:val="22"/>
        </w:rPr>
      </w:pPr>
      <w:r w:rsidRPr="006877AD">
        <w:rPr>
          <w:noProof/>
        </w:rPr>
        <w:drawing>
          <wp:inline distT="0" distB="0" distL="0" distR="0" wp14:anchorId="42888C78" wp14:editId="0B81B28F">
            <wp:extent cx="6743700" cy="40976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43700" cy="4097655"/>
                    </a:xfrm>
                    <a:prstGeom prst="rect">
                      <a:avLst/>
                    </a:prstGeom>
                    <a:noFill/>
                    <a:ln>
                      <a:noFill/>
                    </a:ln>
                  </pic:spPr>
                </pic:pic>
              </a:graphicData>
            </a:graphic>
          </wp:inline>
        </w:drawing>
      </w:r>
    </w:p>
    <w:p w:rsidR="00FF5707" w:rsidRDefault="00FF5707" w:rsidP="002A71CB">
      <w:pPr>
        <w:rPr>
          <w:b/>
          <w:sz w:val="22"/>
          <w:szCs w:val="22"/>
        </w:rPr>
      </w:pPr>
    </w:p>
    <w:p w:rsidR="00D45CA2" w:rsidRDefault="00D45CA2" w:rsidP="00FF5707">
      <w:pPr>
        <w:rPr>
          <w:b/>
          <w:u w:val="single"/>
        </w:rPr>
      </w:pPr>
      <w:r>
        <w:rPr>
          <w:b/>
          <w:u w:val="single"/>
        </w:rPr>
        <w:lastRenderedPageBreak/>
        <w:t>2. Projekt energetske obnove zgrade Općine i zgrade Dječjeg vrtića Radost</w:t>
      </w:r>
    </w:p>
    <w:p w:rsidR="00D45CA2" w:rsidRDefault="00D45CA2" w:rsidP="00FF5707">
      <w:pPr>
        <w:rPr>
          <w:b/>
          <w:u w:val="single"/>
        </w:rPr>
      </w:pPr>
    </w:p>
    <w:p w:rsidR="00B94730" w:rsidRPr="00B94730" w:rsidRDefault="00B94730" w:rsidP="00FF5707">
      <w:pPr>
        <w:rPr>
          <w:b/>
        </w:rPr>
      </w:pPr>
      <w:r w:rsidRPr="00B94730">
        <w:rPr>
          <w:b/>
        </w:rPr>
        <w:t>2.1. Energetska obnova upravno</w:t>
      </w:r>
      <w:r w:rsidR="00837D14">
        <w:rPr>
          <w:b/>
        </w:rPr>
        <w:t xml:space="preserve"> -</w:t>
      </w:r>
      <w:r w:rsidRPr="00B94730">
        <w:rPr>
          <w:b/>
        </w:rPr>
        <w:t xml:space="preserve"> poslovne zgrade Općine Vela Luka</w:t>
      </w:r>
    </w:p>
    <w:p w:rsidR="00B94730" w:rsidRDefault="00B94730" w:rsidP="00FF5707"/>
    <w:p w:rsidR="00D45CA2" w:rsidRDefault="00D45CA2" w:rsidP="00FF5707">
      <w:r w:rsidRPr="000B756C">
        <w:t>U 2024</w:t>
      </w:r>
      <w:r w:rsidR="00B94730">
        <w:t>.</w:t>
      </w:r>
      <w:r w:rsidRPr="000B756C">
        <w:t xml:space="preserve"> je Općina sklopila Ugovor o dodjeli bespovratnih sredstava za projekte koji se financiraju iz </w:t>
      </w:r>
      <w:r w:rsidR="000B756C" w:rsidRPr="000B756C">
        <w:t>nacionalnog plana oporavka i otpornosti 2021.-2026.</w:t>
      </w:r>
      <w:r w:rsidR="000B756C">
        <w:t xml:space="preserve"> za „Energetsku obnovu upravno</w:t>
      </w:r>
      <w:r w:rsidR="00837D14">
        <w:t>-</w:t>
      </w:r>
      <w:r w:rsidR="000B756C">
        <w:t>poslovne zgrade Općine Vela Luka“. Ugovorom su definirani ukupno prihvatljivi troškovi projekta u iznosu od 389.084,02 eura, od čega se Općini dodjeljuju bespovratna sredstva u iznosu od 288.116,37 eura.</w:t>
      </w:r>
      <w:r w:rsidR="00B94730">
        <w:t xml:space="preserve"> Rok završetka svih aktivnosti na projektu je 30.06.2026. godine.</w:t>
      </w:r>
    </w:p>
    <w:p w:rsidR="0004329B" w:rsidRDefault="0004329B" w:rsidP="00FF5707">
      <w:r>
        <w:t>U 2025. godini na energetsku obnovu zgrade Općine potrošeno je 14.331,46 eura.</w:t>
      </w:r>
    </w:p>
    <w:p w:rsidR="00644234" w:rsidRDefault="00644234" w:rsidP="00FF5707">
      <w:pPr>
        <w:rPr>
          <w:b/>
        </w:rPr>
      </w:pPr>
    </w:p>
    <w:p w:rsidR="00B94730" w:rsidRDefault="00644234" w:rsidP="00FF5707">
      <w:pPr>
        <w:rPr>
          <w:b/>
        </w:rPr>
      </w:pPr>
      <w:r w:rsidRPr="00644234">
        <w:rPr>
          <w:b/>
        </w:rPr>
        <w:t>2.2. Energetska obnova</w:t>
      </w:r>
      <w:r w:rsidR="00837D14">
        <w:rPr>
          <w:b/>
        </w:rPr>
        <w:t xml:space="preserve"> zgrade</w:t>
      </w:r>
      <w:r w:rsidRPr="00644234">
        <w:rPr>
          <w:b/>
        </w:rPr>
        <w:t xml:space="preserve"> dječjeg vrtića „Radost“</w:t>
      </w:r>
    </w:p>
    <w:p w:rsidR="00644234" w:rsidRDefault="00644234" w:rsidP="00644234"/>
    <w:p w:rsidR="00644234" w:rsidRDefault="00644234" w:rsidP="00644234">
      <w:r w:rsidRPr="000B756C">
        <w:t>U 2024</w:t>
      </w:r>
      <w:r>
        <w:t>.</w:t>
      </w:r>
      <w:r w:rsidRPr="000B756C">
        <w:t xml:space="preserve"> je Općina sklopila Ugovor o dodjeli bespovratnih sredstava za projekte koji se financiraju iz nacionalnog plana oporavka i otpornosti 2021.-2026.</w:t>
      </w:r>
      <w:r>
        <w:t xml:space="preserve"> za „Energetsku obnovu </w:t>
      </w:r>
      <w:r w:rsidRPr="00644234">
        <w:t>dječjeg vrtića „Radost“</w:t>
      </w:r>
      <w:r>
        <w:t>. Ugovorom su definirani ukupno prihvatljivi troškovi projekta u iznosu od 266.205,27 eura, od čega se Općini dodjeljuju bespovratna sredstva u iznosu od 75.904,10 eura. Rok završetka svih aktivnosti na projektu je 30.06.2026. godine.</w:t>
      </w:r>
    </w:p>
    <w:p w:rsidR="00A03CA9" w:rsidRDefault="00A03CA9" w:rsidP="00A03CA9">
      <w:r>
        <w:t>Kapitalne pomoći temeljem prijenosa EU sredstava – kto 6382, u 2025. su ostvarene u iznosu od 6.687,60 eura (prethodne godine ih nije bilo), a koji se odnose na uplatu sredstava za projekt energetske obnove zgrade vrtića i Općine. Sredstva su namjenski potrošena.</w:t>
      </w:r>
    </w:p>
    <w:p w:rsidR="00837D14" w:rsidRDefault="00837D14" w:rsidP="00837D14"/>
    <w:p w:rsidR="00837D14" w:rsidRPr="00644234" w:rsidRDefault="00837D14" w:rsidP="00837D14">
      <w:r w:rsidRPr="00644234">
        <w:t>Osim energetske obnove odlučeno je ići i u rekonstrukciju zgrade DV „Radost“.</w:t>
      </w:r>
    </w:p>
    <w:p w:rsidR="00B94730" w:rsidRDefault="00644234" w:rsidP="00FF5707">
      <w:r w:rsidRPr="00644234">
        <w:t>U 2025. godini je utrošen</w:t>
      </w:r>
      <w:r w:rsidR="00A03CA9">
        <w:t>o</w:t>
      </w:r>
      <w:r w:rsidRPr="00644234">
        <w:t xml:space="preserve"> na rekonstrukciju i energetsku obnovu zgrade </w:t>
      </w:r>
      <w:r w:rsidR="0004329B">
        <w:t>DV Radost 398.155,46 eura.</w:t>
      </w:r>
      <w:r w:rsidR="00A03CA9">
        <w:t xml:space="preserve"> Iz sredstava pomoći za energetsku obnovu je utrošeno 24.441,10 eura (odobrena sredstva nisu nam uplaćena na kraju godine</w:t>
      </w:r>
      <w:r w:rsidR="00837D14">
        <w:t xml:space="preserve"> 2025.</w:t>
      </w:r>
      <w:r w:rsidR="00A03CA9">
        <w:t>, već u početku sljedeće), a 373.714,36 eura je utrošeno iz općih prihoda i primitaka i viška.</w:t>
      </w:r>
    </w:p>
    <w:p w:rsidR="0004329B" w:rsidRDefault="0004329B" w:rsidP="00FF5707"/>
    <w:p w:rsidR="00FF5707" w:rsidRPr="00B14AC0" w:rsidRDefault="00FF5707" w:rsidP="00FF5707">
      <w:pPr>
        <w:rPr>
          <w:b/>
          <w:u w:val="single"/>
        </w:rPr>
      </w:pPr>
      <w:r>
        <w:rPr>
          <w:b/>
          <w:u w:val="single"/>
        </w:rPr>
        <w:t>IV</w:t>
      </w:r>
      <w:r w:rsidRPr="00B14AC0">
        <w:rPr>
          <w:b/>
          <w:u w:val="single"/>
        </w:rPr>
        <w:t>.</w:t>
      </w:r>
      <w:r>
        <w:rPr>
          <w:b/>
          <w:u w:val="single"/>
        </w:rPr>
        <w:t>5</w:t>
      </w:r>
      <w:r w:rsidRPr="00B14AC0">
        <w:rPr>
          <w:b/>
          <w:u w:val="single"/>
        </w:rPr>
        <w:t xml:space="preserve">.) </w:t>
      </w:r>
      <w:r>
        <w:rPr>
          <w:b/>
          <w:u w:val="single"/>
        </w:rPr>
        <w:t>I</w:t>
      </w:r>
      <w:r w:rsidRPr="00B14AC0">
        <w:rPr>
          <w:b/>
          <w:u w:val="single"/>
        </w:rPr>
        <w:t>zvještaj o danim zajmovima i potraživanjima po danim zajmovima</w:t>
      </w:r>
    </w:p>
    <w:p w:rsidR="00FF5707" w:rsidRDefault="00FF5707" w:rsidP="00FF5707">
      <w:pPr>
        <w:pStyle w:val="BodyText"/>
        <w:tabs>
          <w:tab w:val="right" w:leader="dot" w:pos="9072"/>
        </w:tabs>
        <w:jc w:val="left"/>
      </w:pPr>
    </w:p>
    <w:p w:rsidR="00FF5707" w:rsidRDefault="00FF5707" w:rsidP="00FF5707">
      <w:r>
        <w:t>U 2025. godini Općina Vela Luka nije davala zajmove, niti je imala potraživanja po toj osnovi.</w:t>
      </w:r>
    </w:p>
    <w:p w:rsidR="00FF5707" w:rsidRDefault="00FF5707" w:rsidP="00FF5707"/>
    <w:p w:rsidR="00FF5707" w:rsidRPr="008F1DB3" w:rsidRDefault="00FF5707" w:rsidP="00FF5707">
      <w:pPr>
        <w:rPr>
          <w:b/>
          <w:u w:val="single"/>
        </w:rPr>
      </w:pPr>
      <w:r>
        <w:rPr>
          <w:b/>
          <w:u w:val="single"/>
        </w:rPr>
        <w:t>IV</w:t>
      </w:r>
      <w:r w:rsidRPr="008F1DB3">
        <w:rPr>
          <w:b/>
          <w:u w:val="single"/>
        </w:rPr>
        <w:t>.6.) Izvještaj o stanju potraživanja i dospjelih obveza te o stanju potencijalnih obveza po osnovi sudskih sporova</w:t>
      </w:r>
    </w:p>
    <w:p w:rsidR="00ED6365" w:rsidRDefault="00ED6365" w:rsidP="00ED6365">
      <w:pPr>
        <w:rPr>
          <w:b/>
          <w:u w:val="single"/>
        </w:rPr>
      </w:pPr>
    </w:p>
    <w:p w:rsidR="00ED6365" w:rsidRPr="00C72834" w:rsidRDefault="00ED6365" w:rsidP="00ED6365">
      <w:pPr>
        <w:rPr>
          <w:b/>
          <w:sz w:val="22"/>
          <w:szCs w:val="22"/>
          <w:u w:val="single"/>
        </w:rPr>
      </w:pPr>
      <w:r>
        <w:rPr>
          <w:b/>
          <w:u w:val="single"/>
        </w:rPr>
        <w:t xml:space="preserve">1. </w:t>
      </w:r>
      <w:r w:rsidRPr="00C72834">
        <w:rPr>
          <w:b/>
          <w:u w:val="single"/>
        </w:rPr>
        <w:t>POTRAŽIVANJA</w:t>
      </w:r>
    </w:p>
    <w:p w:rsidR="00FF5707" w:rsidRDefault="00FF5707" w:rsidP="00FF5707">
      <w:pPr>
        <w:rPr>
          <w:b/>
          <w:u w:val="single"/>
        </w:rPr>
      </w:pPr>
    </w:p>
    <w:p w:rsidR="00FF5707" w:rsidRPr="00AB7226" w:rsidRDefault="00837D14" w:rsidP="00FF5707">
      <w:pPr>
        <w:pStyle w:val="ListParagraph"/>
        <w:ind w:left="0"/>
        <w:rPr>
          <w:b/>
          <w:sz w:val="22"/>
          <w:szCs w:val="22"/>
        </w:rPr>
      </w:pPr>
      <w:r>
        <w:rPr>
          <w:b/>
          <w:sz w:val="22"/>
          <w:szCs w:val="22"/>
        </w:rPr>
        <w:t>Tablica 14:</w:t>
      </w:r>
      <w:r w:rsidR="00FF5707" w:rsidRPr="00AB7226">
        <w:rPr>
          <w:b/>
          <w:sz w:val="22"/>
          <w:szCs w:val="22"/>
        </w:rPr>
        <w:t>Nenaplaćena potraživanja</w:t>
      </w:r>
      <w:r w:rsidR="00FF5707">
        <w:rPr>
          <w:b/>
          <w:sz w:val="22"/>
          <w:szCs w:val="22"/>
        </w:rPr>
        <w:t xml:space="preserve"> Općine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6031"/>
        <w:gridCol w:w="1275"/>
        <w:gridCol w:w="1276"/>
      </w:tblGrid>
      <w:tr w:rsidR="00FF5707" w:rsidRPr="00A33C7C" w:rsidTr="007C137F">
        <w:tc>
          <w:tcPr>
            <w:tcW w:w="740" w:type="dxa"/>
          </w:tcPr>
          <w:p w:rsidR="00FF5707" w:rsidRPr="00A33C7C" w:rsidRDefault="00FF5707" w:rsidP="007C137F">
            <w:pPr>
              <w:jc w:val="right"/>
              <w:rPr>
                <w:b/>
                <w:sz w:val="22"/>
                <w:szCs w:val="22"/>
              </w:rPr>
            </w:pPr>
            <w:r w:rsidRPr="00A33C7C">
              <w:rPr>
                <w:b/>
                <w:sz w:val="22"/>
                <w:szCs w:val="22"/>
              </w:rPr>
              <w:t>R.br.</w:t>
            </w:r>
          </w:p>
        </w:tc>
        <w:tc>
          <w:tcPr>
            <w:tcW w:w="6031" w:type="dxa"/>
          </w:tcPr>
          <w:p w:rsidR="00FF5707" w:rsidRPr="00A33C7C" w:rsidRDefault="00FF5707" w:rsidP="007C137F">
            <w:pPr>
              <w:rPr>
                <w:b/>
                <w:sz w:val="22"/>
                <w:szCs w:val="22"/>
              </w:rPr>
            </w:pPr>
            <w:r w:rsidRPr="00A33C7C">
              <w:rPr>
                <w:b/>
                <w:sz w:val="22"/>
                <w:szCs w:val="22"/>
              </w:rPr>
              <w:t>Opis potraživanja</w:t>
            </w:r>
          </w:p>
        </w:tc>
        <w:tc>
          <w:tcPr>
            <w:tcW w:w="1275" w:type="dxa"/>
          </w:tcPr>
          <w:p w:rsidR="00FF5707" w:rsidRPr="00A33C7C" w:rsidRDefault="00FF5707" w:rsidP="007C137F">
            <w:pPr>
              <w:jc w:val="right"/>
              <w:rPr>
                <w:b/>
                <w:sz w:val="22"/>
                <w:szCs w:val="22"/>
              </w:rPr>
            </w:pPr>
            <w:r>
              <w:rPr>
                <w:b/>
                <w:sz w:val="22"/>
                <w:szCs w:val="22"/>
              </w:rPr>
              <w:t>01.01.2025.</w:t>
            </w:r>
          </w:p>
        </w:tc>
        <w:tc>
          <w:tcPr>
            <w:tcW w:w="1276" w:type="dxa"/>
          </w:tcPr>
          <w:p w:rsidR="00FF5707" w:rsidRDefault="00FF5707" w:rsidP="007C137F">
            <w:pPr>
              <w:jc w:val="right"/>
              <w:rPr>
                <w:b/>
                <w:sz w:val="22"/>
                <w:szCs w:val="22"/>
              </w:rPr>
            </w:pPr>
            <w:r>
              <w:rPr>
                <w:b/>
                <w:sz w:val="22"/>
                <w:szCs w:val="22"/>
              </w:rPr>
              <w:t>31.12.2025.</w:t>
            </w:r>
          </w:p>
        </w:tc>
      </w:tr>
      <w:tr w:rsidR="00FF5707" w:rsidRPr="00A33C7C" w:rsidTr="007C137F">
        <w:tc>
          <w:tcPr>
            <w:tcW w:w="740" w:type="dxa"/>
          </w:tcPr>
          <w:p w:rsidR="00FF5707" w:rsidRPr="00A33C7C" w:rsidRDefault="00FF5707" w:rsidP="007C137F">
            <w:pPr>
              <w:jc w:val="right"/>
              <w:rPr>
                <w:sz w:val="22"/>
                <w:szCs w:val="22"/>
              </w:rPr>
            </w:pPr>
            <w:r w:rsidRPr="00A33C7C">
              <w:rPr>
                <w:sz w:val="22"/>
                <w:szCs w:val="22"/>
              </w:rPr>
              <w:t>1.</w:t>
            </w:r>
          </w:p>
        </w:tc>
        <w:tc>
          <w:tcPr>
            <w:tcW w:w="6031" w:type="dxa"/>
          </w:tcPr>
          <w:p w:rsidR="00FF5707" w:rsidRPr="00A33C7C" w:rsidRDefault="00FF5707" w:rsidP="007C137F">
            <w:pPr>
              <w:rPr>
                <w:sz w:val="22"/>
                <w:szCs w:val="22"/>
              </w:rPr>
            </w:pPr>
            <w:r w:rsidRPr="00A33C7C">
              <w:rPr>
                <w:sz w:val="22"/>
                <w:szCs w:val="22"/>
              </w:rPr>
              <w:t>Zakup javne površine</w:t>
            </w:r>
          </w:p>
        </w:tc>
        <w:tc>
          <w:tcPr>
            <w:tcW w:w="1275" w:type="dxa"/>
          </w:tcPr>
          <w:p w:rsidR="00FF5707" w:rsidRPr="00A33C7C" w:rsidRDefault="00FF5707" w:rsidP="007C137F">
            <w:pPr>
              <w:jc w:val="right"/>
              <w:rPr>
                <w:sz w:val="22"/>
                <w:szCs w:val="22"/>
              </w:rPr>
            </w:pPr>
            <w:r>
              <w:rPr>
                <w:sz w:val="22"/>
                <w:szCs w:val="22"/>
              </w:rPr>
              <w:t>27.962,74</w:t>
            </w:r>
          </w:p>
        </w:tc>
        <w:tc>
          <w:tcPr>
            <w:tcW w:w="1276" w:type="dxa"/>
          </w:tcPr>
          <w:p w:rsidR="00FF5707" w:rsidRDefault="00FF5707" w:rsidP="007C137F">
            <w:pPr>
              <w:jc w:val="right"/>
              <w:rPr>
                <w:sz w:val="22"/>
                <w:szCs w:val="22"/>
              </w:rPr>
            </w:pPr>
            <w:r>
              <w:rPr>
                <w:sz w:val="22"/>
                <w:szCs w:val="22"/>
              </w:rPr>
              <w:t>26.159,94</w:t>
            </w:r>
          </w:p>
        </w:tc>
      </w:tr>
      <w:tr w:rsidR="00FF5707" w:rsidRPr="00A33C7C" w:rsidTr="007C137F">
        <w:tc>
          <w:tcPr>
            <w:tcW w:w="740" w:type="dxa"/>
          </w:tcPr>
          <w:p w:rsidR="00FF5707" w:rsidRPr="00A33C7C" w:rsidRDefault="00FF5707" w:rsidP="007C137F">
            <w:pPr>
              <w:jc w:val="right"/>
              <w:rPr>
                <w:sz w:val="22"/>
                <w:szCs w:val="22"/>
              </w:rPr>
            </w:pPr>
            <w:r w:rsidRPr="00A33C7C">
              <w:rPr>
                <w:sz w:val="22"/>
                <w:szCs w:val="22"/>
              </w:rPr>
              <w:t>2.</w:t>
            </w:r>
          </w:p>
        </w:tc>
        <w:tc>
          <w:tcPr>
            <w:tcW w:w="6031" w:type="dxa"/>
          </w:tcPr>
          <w:p w:rsidR="00FF5707" w:rsidRPr="00A33C7C" w:rsidRDefault="00FF5707" w:rsidP="007C137F">
            <w:pPr>
              <w:rPr>
                <w:sz w:val="22"/>
                <w:szCs w:val="22"/>
              </w:rPr>
            </w:pPr>
            <w:r w:rsidRPr="00A33C7C">
              <w:rPr>
                <w:sz w:val="22"/>
                <w:szCs w:val="22"/>
              </w:rPr>
              <w:t>Zakup poslovnog prostora</w:t>
            </w:r>
          </w:p>
        </w:tc>
        <w:tc>
          <w:tcPr>
            <w:tcW w:w="1275" w:type="dxa"/>
          </w:tcPr>
          <w:p w:rsidR="00FF5707" w:rsidRPr="00A33C7C" w:rsidRDefault="00FF5707" w:rsidP="007C137F">
            <w:pPr>
              <w:jc w:val="right"/>
              <w:rPr>
                <w:sz w:val="22"/>
                <w:szCs w:val="22"/>
              </w:rPr>
            </w:pPr>
            <w:r>
              <w:rPr>
                <w:sz w:val="22"/>
                <w:szCs w:val="22"/>
              </w:rPr>
              <w:t>14.724,32</w:t>
            </w:r>
          </w:p>
        </w:tc>
        <w:tc>
          <w:tcPr>
            <w:tcW w:w="1276" w:type="dxa"/>
          </w:tcPr>
          <w:p w:rsidR="00FF5707" w:rsidRDefault="00FF5707" w:rsidP="007C137F">
            <w:pPr>
              <w:jc w:val="right"/>
              <w:rPr>
                <w:sz w:val="22"/>
                <w:szCs w:val="22"/>
              </w:rPr>
            </w:pPr>
            <w:r>
              <w:rPr>
                <w:sz w:val="22"/>
                <w:szCs w:val="22"/>
              </w:rPr>
              <w:t>16.889,16</w:t>
            </w:r>
          </w:p>
        </w:tc>
      </w:tr>
      <w:tr w:rsidR="00FF5707" w:rsidRPr="00A33C7C" w:rsidTr="007C137F">
        <w:tc>
          <w:tcPr>
            <w:tcW w:w="740" w:type="dxa"/>
          </w:tcPr>
          <w:p w:rsidR="00FF5707" w:rsidRPr="00A33C7C" w:rsidRDefault="00FF5707" w:rsidP="007C137F">
            <w:pPr>
              <w:jc w:val="right"/>
              <w:rPr>
                <w:sz w:val="22"/>
                <w:szCs w:val="22"/>
              </w:rPr>
            </w:pPr>
            <w:r w:rsidRPr="00A33C7C">
              <w:rPr>
                <w:sz w:val="22"/>
                <w:szCs w:val="22"/>
              </w:rPr>
              <w:t xml:space="preserve">3. </w:t>
            </w:r>
          </w:p>
        </w:tc>
        <w:tc>
          <w:tcPr>
            <w:tcW w:w="6031" w:type="dxa"/>
          </w:tcPr>
          <w:p w:rsidR="00FF5707" w:rsidRPr="00A33C7C" w:rsidRDefault="00FF5707" w:rsidP="007C137F">
            <w:pPr>
              <w:rPr>
                <w:sz w:val="22"/>
                <w:szCs w:val="22"/>
              </w:rPr>
            </w:pPr>
            <w:r w:rsidRPr="00A33C7C">
              <w:rPr>
                <w:sz w:val="22"/>
                <w:szCs w:val="22"/>
              </w:rPr>
              <w:t>Zakup poljopr.zemljišta u vlasništvu RH</w:t>
            </w:r>
          </w:p>
        </w:tc>
        <w:tc>
          <w:tcPr>
            <w:tcW w:w="1275" w:type="dxa"/>
          </w:tcPr>
          <w:p w:rsidR="00FF5707" w:rsidRPr="00A33C7C" w:rsidRDefault="00FF5707" w:rsidP="007C137F">
            <w:pPr>
              <w:jc w:val="right"/>
              <w:rPr>
                <w:sz w:val="22"/>
                <w:szCs w:val="22"/>
              </w:rPr>
            </w:pPr>
            <w:r>
              <w:rPr>
                <w:sz w:val="22"/>
                <w:szCs w:val="22"/>
              </w:rPr>
              <w:t>2.430,64</w:t>
            </w:r>
          </w:p>
        </w:tc>
        <w:tc>
          <w:tcPr>
            <w:tcW w:w="1276" w:type="dxa"/>
          </w:tcPr>
          <w:p w:rsidR="00FF5707" w:rsidRDefault="00FF5707" w:rsidP="007C137F">
            <w:pPr>
              <w:jc w:val="right"/>
              <w:rPr>
                <w:sz w:val="22"/>
                <w:szCs w:val="22"/>
              </w:rPr>
            </w:pPr>
            <w:r>
              <w:rPr>
                <w:sz w:val="22"/>
                <w:szCs w:val="22"/>
              </w:rPr>
              <w:t>3.174,61</w:t>
            </w:r>
          </w:p>
        </w:tc>
      </w:tr>
      <w:tr w:rsidR="00FF5707" w:rsidRPr="00A33C7C" w:rsidTr="007C137F">
        <w:tc>
          <w:tcPr>
            <w:tcW w:w="740" w:type="dxa"/>
          </w:tcPr>
          <w:p w:rsidR="00FF5707" w:rsidRPr="00A33C7C" w:rsidRDefault="00FF5707" w:rsidP="007C137F">
            <w:pPr>
              <w:jc w:val="right"/>
              <w:rPr>
                <w:sz w:val="22"/>
                <w:szCs w:val="22"/>
              </w:rPr>
            </w:pPr>
            <w:r w:rsidRPr="00A33C7C">
              <w:rPr>
                <w:sz w:val="22"/>
                <w:szCs w:val="22"/>
              </w:rPr>
              <w:t>4.</w:t>
            </w:r>
          </w:p>
        </w:tc>
        <w:tc>
          <w:tcPr>
            <w:tcW w:w="6031" w:type="dxa"/>
          </w:tcPr>
          <w:p w:rsidR="00FF5707" w:rsidRPr="00A33C7C" w:rsidRDefault="00FF5707" w:rsidP="007C137F">
            <w:pPr>
              <w:rPr>
                <w:sz w:val="22"/>
                <w:szCs w:val="22"/>
              </w:rPr>
            </w:pPr>
            <w:r w:rsidRPr="00A33C7C">
              <w:rPr>
                <w:sz w:val="22"/>
                <w:szCs w:val="22"/>
              </w:rPr>
              <w:t>Refundacije troškova prema ugovorima</w:t>
            </w:r>
          </w:p>
        </w:tc>
        <w:tc>
          <w:tcPr>
            <w:tcW w:w="1275" w:type="dxa"/>
          </w:tcPr>
          <w:p w:rsidR="00FF5707" w:rsidRPr="00A33C7C" w:rsidRDefault="00FF5707" w:rsidP="007C137F">
            <w:pPr>
              <w:jc w:val="right"/>
              <w:rPr>
                <w:sz w:val="22"/>
                <w:szCs w:val="22"/>
              </w:rPr>
            </w:pPr>
            <w:r>
              <w:rPr>
                <w:sz w:val="22"/>
                <w:szCs w:val="22"/>
              </w:rPr>
              <w:t>4.987,19</w:t>
            </w:r>
          </w:p>
        </w:tc>
        <w:tc>
          <w:tcPr>
            <w:tcW w:w="1276" w:type="dxa"/>
          </w:tcPr>
          <w:p w:rsidR="00FF5707" w:rsidRDefault="00FF5707" w:rsidP="007C137F">
            <w:pPr>
              <w:jc w:val="right"/>
              <w:rPr>
                <w:sz w:val="22"/>
                <w:szCs w:val="22"/>
              </w:rPr>
            </w:pPr>
            <w:r>
              <w:rPr>
                <w:sz w:val="22"/>
                <w:szCs w:val="22"/>
              </w:rPr>
              <w:t>1.939,23</w:t>
            </w:r>
          </w:p>
        </w:tc>
      </w:tr>
      <w:tr w:rsidR="00FF5707" w:rsidRPr="00A33C7C" w:rsidTr="007C137F">
        <w:tc>
          <w:tcPr>
            <w:tcW w:w="740" w:type="dxa"/>
          </w:tcPr>
          <w:p w:rsidR="00FF5707" w:rsidRPr="00A33C7C" w:rsidRDefault="00FF5707" w:rsidP="007C137F">
            <w:pPr>
              <w:jc w:val="right"/>
              <w:rPr>
                <w:sz w:val="22"/>
                <w:szCs w:val="22"/>
              </w:rPr>
            </w:pPr>
            <w:r w:rsidRPr="00A33C7C">
              <w:rPr>
                <w:sz w:val="22"/>
                <w:szCs w:val="22"/>
              </w:rPr>
              <w:t>5.</w:t>
            </w:r>
          </w:p>
        </w:tc>
        <w:tc>
          <w:tcPr>
            <w:tcW w:w="6031" w:type="dxa"/>
          </w:tcPr>
          <w:p w:rsidR="00FF5707" w:rsidRPr="00A33C7C" w:rsidRDefault="00FF5707" w:rsidP="007C137F">
            <w:pPr>
              <w:rPr>
                <w:sz w:val="22"/>
                <w:szCs w:val="22"/>
              </w:rPr>
            </w:pPr>
            <w:r w:rsidRPr="00A33C7C">
              <w:rPr>
                <w:sz w:val="22"/>
                <w:szCs w:val="22"/>
              </w:rPr>
              <w:t>Komunalna naknada – domaćinstva</w:t>
            </w:r>
          </w:p>
        </w:tc>
        <w:tc>
          <w:tcPr>
            <w:tcW w:w="1275" w:type="dxa"/>
          </w:tcPr>
          <w:p w:rsidR="00FF5707" w:rsidRPr="00A33C7C" w:rsidRDefault="00FF5707" w:rsidP="007C137F">
            <w:pPr>
              <w:jc w:val="right"/>
              <w:rPr>
                <w:sz w:val="22"/>
                <w:szCs w:val="22"/>
              </w:rPr>
            </w:pPr>
            <w:r>
              <w:rPr>
                <w:sz w:val="22"/>
                <w:szCs w:val="22"/>
              </w:rPr>
              <w:t>16.463,16</w:t>
            </w:r>
          </w:p>
        </w:tc>
        <w:tc>
          <w:tcPr>
            <w:tcW w:w="1276" w:type="dxa"/>
          </w:tcPr>
          <w:p w:rsidR="00FF5707" w:rsidRDefault="00FF5707" w:rsidP="007C137F">
            <w:pPr>
              <w:jc w:val="right"/>
              <w:rPr>
                <w:sz w:val="22"/>
                <w:szCs w:val="22"/>
              </w:rPr>
            </w:pPr>
            <w:r>
              <w:rPr>
                <w:sz w:val="22"/>
                <w:szCs w:val="22"/>
              </w:rPr>
              <w:t>14.716,20</w:t>
            </w:r>
          </w:p>
        </w:tc>
      </w:tr>
      <w:tr w:rsidR="00FF5707" w:rsidRPr="00A33C7C" w:rsidTr="007C137F">
        <w:tc>
          <w:tcPr>
            <w:tcW w:w="740" w:type="dxa"/>
          </w:tcPr>
          <w:p w:rsidR="00FF5707" w:rsidRPr="00A33C7C" w:rsidRDefault="00FF5707" w:rsidP="007C137F">
            <w:pPr>
              <w:jc w:val="right"/>
              <w:rPr>
                <w:sz w:val="22"/>
                <w:szCs w:val="22"/>
              </w:rPr>
            </w:pPr>
            <w:r w:rsidRPr="00A33C7C">
              <w:rPr>
                <w:sz w:val="22"/>
                <w:szCs w:val="22"/>
              </w:rPr>
              <w:t>6.</w:t>
            </w:r>
          </w:p>
        </w:tc>
        <w:tc>
          <w:tcPr>
            <w:tcW w:w="6031" w:type="dxa"/>
          </w:tcPr>
          <w:p w:rsidR="00FF5707" w:rsidRPr="00A33C7C" w:rsidRDefault="00FF5707" w:rsidP="007C137F">
            <w:pPr>
              <w:rPr>
                <w:sz w:val="22"/>
                <w:szCs w:val="22"/>
              </w:rPr>
            </w:pPr>
            <w:r w:rsidRPr="00A33C7C">
              <w:rPr>
                <w:sz w:val="22"/>
                <w:szCs w:val="22"/>
              </w:rPr>
              <w:t>Komunalna naknada – poduzeća</w:t>
            </w:r>
          </w:p>
        </w:tc>
        <w:tc>
          <w:tcPr>
            <w:tcW w:w="1275" w:type="dxa"/>
          </w:tcPr>
          <w:p w:rsidR="00FF5707" w:rsidRPr="00A33C7C" w:rsidRDefault="00FF5707" w:rsidP="007C137F">
            <w:pPr>
              <w:jc w:val="right"/>
              <w:rPr>
                <w:sz w:val="22"/>
                <w:szCs w:val="22"/>
              </w:rPr>
            </w:pPr>
            <w:r>
              <w:rPr>
                <w:sz w:val="22"/>
                <w:szCs w:val="22"/>
              </w:rPr>
              <w:t>61.926,79</w:t>
            </w:r>
          </w:p>
        </w:tc>
        <w:tc>
          <w:tcPr>
            <w:tcW w:w="1276" w:type="dxa"/>
          </w:tcPr>
          <w:p w:rsidR="00FF5707" w:rsidRDefault="00FF5707" w:rsidP="007C137F">
            <w:pPr>
              <w:jc w:val="right"/>
              <w:rPr>
                <w:sz w:val="22"/>
                <w:szCs w:val="22"/>
              </w:rPr>
            </w:pPr>
            <w:r>
              <w:rPr>
                <w:sz w:val="22"/>
                <w:szCs w:val="22"/>
              </w:rPr>
              <w:t>64.682,12</w:t>
            </w:r>
          </w:p>
        </w:tc>
      </w:tr>
      <w:tr w:rsidR="00FF5707" w:rsidRPr="00A33C7C" w:rsidTr="007C137F">
        <w:tc>
          <w:tcPr>
            <w:tcW w:w="740" w:type="dxa"/>
          </w:tcPr>
          <w:p w:rsidR="00FF5707" w:rsidRPr="00A33C7C" w:rsidRDefault="00FF5707" w:rsidP="007C137F">
            <w:pPr>
              <w:jc w:val="right"/>
              <w:rPr>
                <w:sz w:val="22"/>
                <w:szCs w:val="22"/>
              </w:rPr>
            </w:pPr>
            <w:r w:rsidRPr="00A33C7C">
              <w:rPr>
                <w:sz w:val="22"/>
                <w:szCs w:val="22"/>
              </w:rPr>
              <w:t>7.</w:t>
            </w:r>
          </w:p>
        </w:tc>
        <w:tc>
          <w:tcPr>
            <w:tcW w:w="6031" w:type="dxa"/>
          </w:tcPr>
          <w:p w:rsidR="00FF5707" w:rsidRPr="00A33C7C" w:rsidRDefault="00FF5707" w:rsidP="007C137F">
            <w:pPr>
              <w:rPr>
                <w:sz w:val="22"/>
                <w:szCs w:val="22"/>
              </w:rPr>
            </w:pPr>
            <w:r w:rsidRPr="00A33C7C">
              <w:rPr>
                <w:sz w:val="22"/>
                <w:szCs w:val="22"/>
              </w:rPr>
              <w:t xml:space="preserve">Naknada za uređenje voda </w:t>
            </w:r>
            <w:r>
              <w:rPr>
                <w:sz w:val="22"/>
                <w:szCs w:val="22"/>
              </w:rPr>
              <w:t>–</w:t>
            </w:r>
            <w:r w:rsidRPr="00A33C7C">
              <w:rPr>
                <w:sz w:val="22"/>
                <w:szCs w:val="22"/>
              </w:rPr>
              <w:t xml:space="preserve"> Hrv.vode</w:t>
            </w:r>
            <w:r>
              <w:rPr>
                <w:sz w:val="22"/>
                <w:szCs w:val="22"/>
              </w:rPr>
              <w:t xml:space="preserve"> -domać.</w:t>
            </w:r>
          </w:p>
        </w:tc>
        <w:tc>
          <w:tcPr>
            <w:tcW w:w="1275" w:type="dxa"/>
          </w:tcPr>
          <w:p w:rsidR="00FF5707" w:rsidRPr="00A33C7C" w:rsidRDefault="00FF5707" w:rsidP="007C137F">
            <w:pPr>
              <w:jc w:val="right"/>
              <w:rPr>
                <w:sz w:val="22"/>
                <w:szCs w:val="22"/>
              </w:rPr>
            </w:pPr>
            <w:r>
              <w:rPr>
                <w:sz w:val="22"/>
                <w:szCs w:val="22"/>
              </w:rPr>
              <w:t>19.639,32</w:t>
            </w:r>
          </w:p>
        </w:tc>
        <w:tc>
          <w:tcPr>
            <w:tcW w:w="1276" w:type="dxa"/>
          </w:tcPr>
          <w:p w:rsidR="00FF5707" w:rsidRDefault="00FF5707" w:rsidP="007C137F">
            <w:pPr>
              <w:jc w:val="right"/>
              <w:rPr>
                <w:sz w:val="22"/>
                <w:szCs w:val="22"/>
              </w:rPr>
            </w:pPr>
            <w:r>
              <w:rPr>
                <w:sz w:val="22"/>
                <w:szCs w:val="22"/>
              </w:rPr>
              <w:t>18.876,10</w:t>
            </w:r>
          </w:p>
        </w:tc>
      </w:tr>
      <w:tr w:rsidR="00FF5707" w:rsidRPr="00A33C7C" w:rsidTr="007C137F">
        <w:tc>
          <w:tcPr>
            <w:tcW w:w="740" w:type="dxa"/>
          </w:tcPr>
          <w:p w:rsidR="00FF5707" w:rsidRPr="00A33C7C" w:rsidRDefault="00FF5707" w:rsidP="007C137F">
            <w:pPr>
              <w:jc w:val="right"/>
              <w:rPr>
                <w:sz w:val="22"/>
                <w:szCs w:val="22"/>
              </w:rPr>
            </w:pPr>
            <w:r>
              <w:rPr>
                <w:sz w:val="22"/>
                <w:szCs w:val="22"/>
              </w:rPr>
              <w:t>8.</w:t>
            </w:r>
          </w:p>
        </w:tc>
        <w:tc>
          <w:tcPr>
            <w:tcW w:w="6031" w:type="dxa"/>
          </w:tcPr>
          <w:p w:rsidR="00FF5707" w:rsidRPr="00A33C7C" w:rsidRDefault="00FF5707" w:rsidP="007C137F">
            <w:pPr>
              <w:rPr>
                <w:sz w:val="22"/>
                <w:szCs w:val="22"/>
              </w:rPr>
            </w:pPr>
            <w:r w:rsidRPr="00A33C7C">
              <w:rPr>
                <w:sz w:val="22"/>
                <w:szCs w:val="22"/>
              </w:rPr>
              <w:t xml:space="preserve">Naknada za uređenje voda </w:t>
            </w:r>
            <w:r>
              <w:rPr>
                <w:sz w:val="22"/>
                <w:szCs w:val="22"/>
              </w:rPr>
              <w:t>–</w:t>
            </w:r>
            <w:r w:rsidRPr="00A33C7C">
              <w:rPr>
                <w:sz w:val="22"/>
                <w:szCs w:val="22"/>
              </w:rPr>
              <w:t xml:space="preserve"> Hrv.vode</w:t>
            </w:r>
            <w:r>
              <w:rPr>
                <w:sz w:val="22"/>
                <w:szCs w:val="22"/>
              </w:rPr>
              <w:t>-poduz.</w:t>
            </w:r>
          </w:p>
        </w:tc>
        <w:tc>
          <w:tcPr>
            <w:tcW w:w="1275" w:type="dxa"/>
          </w:tcPr>
          <w:p w:rsidR="00FF5707" w:rsidRDefault="00FF5707" w:rsidP="007C137F">
            <w:pPr>
              <w:jc w:val="right"/>
              <w:rPr>
                <w:sz w:val="22"/>
                <w:szCs w:val="22"/>
              </w:rPr>
            </w:pPr>
            <w:r>
              <w:rPr>
                <w:sz w:val="22"/>
                <w:szCs w:val="22"/>
              </w:rPr>
              <w:t>80.026,79</w:t>
            </w:r>
          </w:p>
        </w:tc>
        <w:tc>
          <w:tcPr>
            <w:tcW w:w="1276" w:type="dxa"/>
          </w:tcPr>
          <w:p w:rsidR="00FF5707" w:rsidRDefault="00FF5707" w:rsidP="007C137F">
            <w:pPr>
              <w:jc w:val="right"/>
              <w:rPr>
                <w:sz w:val="22"/>
                <w:szCs w:val="22"/>
              </w:rPr>
            </w:pPr>
            <w:r>
              <w:rPr>
                <w:sz w:val="22"/>
                <w:szCs w:val="22"/>
              </w:rPr>
              <w:t>86.096,57</w:t>
            </w:r>
          </w:p>
        </w:tc>
      </w:tr>
      <w:tr w:rsidR="00FF5707" w:rsidRPr="00A33C7C" w:rsidTr="007C137F">
        <w:tc>
          <w:tcPr>
            <w:tcW w:w="740" w:type="dxa"/>
          </w:tcPr>
          <w:p w:rsidR="00FF5707" w:rsidRPr="00A33C7C" w:rsidRDefault="00FF5707" w:rsidP="007C137F">
            <w:pPr>
              <w:jc w:val="right"/>
              <w:rPr>
                <w:sz w:val="22"/>
                <w:szCs w:val="22"/>
              </w:rPr>
            </w:pPr>
            <w:r>
              <w:rPr>
                <w:sz w:val="22"/>
                <w:szCs w:val="22"/>
              </w:rPr>
              <w:t>9</w:t>
            </w:r>
            <w:r w:rsidRPr="00A33C7C">
              <w:rPr>
                <w:sz w:val="22"/>
                <w:szCs w:val="22"/>
              </w:rPr>
              <w:t>.</w:t>
            </w:r>
          </w:p>
        </w:tc>
        <w:tc>
          <w:tcPr>
            <w:tcW w:w="6031" w:type="dxa"/>
          </w:tcPr>
          <w:p w:rsidR="00FF5707" w:rsidRPr="00A33C7C" w:rsidRDefault="00FF5707" w:rsidP="007C137F">
            <w:pPr>
              <w:rPr>
                <w:sz w:val="22"/>
                <w:szCs w:val="22"/>
              </w:rPr>
            </w:pPr>
            <w:r w:rsidRPr="00A33C7C">
              <w:rPr>
                <w:sz w:val="22"/>
                <w:szCs w:val="22"/>
              </w:rPr>
              <w:t xml:space="preserve">Komunalni doprinos </w:t>
            </w:r>
          </w:p>
        </w:tc>
        <w:tc>
          <w:tcPr>
            <w:tcW w:w="1275" w:type="dxa"/>
          </w:tcPr>
          <w:p w:rsidR="00FF5707" w:rsidRPr="00A33C7C" w:rsidRDefault="00FF5707" w:rsidP="007C137F">
            <w:pPr>
              <w:jc w:val="right"/>
              <w:rPr>
                <w:sz w:val="22"/>
                <w:szCs w:val="22"/>
              </w:rPr>
            </w:pPr>
            <w:r>
              <w:rPr>
                <w:sz w:val="22"/>
                <w:szCs w:val="22"/>
              </w:rPr>
              <w:t>10.052,46</w:t>
            </w:r>
          </w:p>
        </w:tc>
        <w:tc>
          <w:tcPr>
            <w:tcW w:w="1276" w:type="dxa"/>
          </w:tcPr>
          <w:p w:rsidR="00FF5707" w:rsidRDefault="00FF5707" w:rsidP="007C137F">
            <w:pPr>
              <w:jc w:val="right"/>
              <w:rPr>
                <w:sz w:val="22"/>
                <w:szCs w:val="22"/>
              </w:rPr>
            </w:pPr>
            <w:r>
              <w:rPr>
                <w:sz w:val="22"/>
                <w:szCs w:val="22"/>
              </w:rPr>
              <w:t>28.218,07</w:t>
            </w:r>
          </w:p>
        </w:tc>
      </w:tr>
      <w:tr w:rsidR="00FF5707" w:rsidRPr="00A33C7C" w:rsidTr="007C137F">
        <w:tc>
          <w:tcPr>
            <w:tcW w:w="740" w:type="dxa"/>
          </w:tcPr>
          <w:p w:rsidR="00FF5707" w:rsidRPr="00A33C7C" w:rsidRDefault="00FF5707" w:rsidP="007C137F">
            <w:pPr>
              <w:jc w:val="right"/>
              <w:rPr>
                <w:sz w:val="22"/>
                <w:szCs w:val="22"/>
              </w:rPr>
            </w:pPr>
            <w:r>
              <w:rPr>
                <w:sz w:val="22"/>
                <w:szCs w:val="22"/>
              </w:rPr>
              <w:t>10</w:t>
            </w:r>
            <w:r w:rsidRPr="00A33C7C">
              <w:rPr>
                <w:sz w:val="22"/>
                <w:szCs w:val="22"/>
              </w:rPr>
              <w:t>.</w:t>
            </w:r>
          </w:p>
        </w:tc>
        <w:tc>
          <w:tcPr>
            <w:tcW w:w="6031" w:type="dxa"/>
          </w:tcPr>
          <w:p w:rsidR="00FF5707" w:rsidRPr="00A33C7C" w:rsidRDefault="00FF5707" w:rsidP="007C137F">
            <w:pPr>
              <w:rPr>
                <w:sz w:val="22"/>
                <w:szCs w:val="22"/>
              </w:rPr>
            </w:pPr>
            <w:r w:rsidRPr="00A33C7C">
              <w:rPr>
                <w:sz w:val="22"/>
                <w:szCs w:val="22"/>
              </w:rPr>
              <w:t>Porez na kuće za odmor</w:t>
            </w:r>
          </w:p>
        </w:tc>
        <w:tc>
          <w:tcPr>
            <w:tcW w:w="1275" w:type="dxa"/>
          </w:tcPr>
          <w:p w:rsidR="00FF5707" w:rsidRPr="00A33C7C" w:rsidRDefault="00FF5707" w:rsidP="007C137F">
            <w:pPr>
              <w:jc w:val="right"/>
              <w:rPr>
                <w:sz w:val="22"/>
                <w:szCs w:val="22"/>
              </w:rPr>
            </w:pPr>
            <w:r>
              <w:rPr>
                <w:sz w:val="22"/>
                <w:szCs w:val="22"/>
              </w:rPr>
              <w:t>46.363,20</w:t>
            </w:r>
          </w:p>
        </w:tc>
        <w:tc>
          <w:tcPr>
            <w:tcW w:w="1276" w:type="dxa"/>
          </w:tcPr>
          <w:p w:rsidR="00FF5707" w:rsidRDefault="00FF5707" w:rsidP="007C137F">
            <w:pPr>
              <w:jc w:val="right"/>
              <w:rPr>
                <w:sz w:val="22"/>
                <w:szCs w:val="22"/>
              </w:rPr>
            </w:pPr>
            <w:r>
              <w:rPr>
                <w:sz w:val="22"/>
                <w:szCs w:val="22"/>
              </w:rPr>
              <w:t>27.575,01</w:t>
            </w:r>
          </w:p>
        </w:tc>
      </w:tr>
      <w:tr w:rsidR="00FF5707" w:rsidRPr="00A33C7C" w:rsidTr="007C137F">
        <w:tc>
          <w:tcPr>
            <w:tcW w:w="740" w:type="dxa"/>
          </w:tcPr>
          <w:p w:rsidR="00FF5707" w:rsidRPr="00A33C7C" w:rsidRDefault="00FF5707" w:rsidP="007C137F">
            <w:pPr>
              <w:jc w:val="right"/>
              <w:rPr>
                <w:sz w:val="22"/>
                <w:szCs w:val="22"/>
              </w:rPr>
            </w:pPr>
            <w:r>
              <w:rPr>
                <w:sz w:val="22"/>
                <w:szCs w:val="22"/>
              </w:rPr>
              <w:t>11</w:t>
            </w:r>
            <w:r w:rsidRPr="00A33C7C">
              <w:rPr>
                <w:sz w:val="22"/>
                <w:szCs w:val="22"/>
              </w:rPr>
              <w:t>.</w:t>
            </w:r>
          </w:p>
        </w:tc>
        <w:tc>
          <w:tcPr>
            <w:tcW w:w="6031" w:type="dxa"/>
          </w:tcPr>
          <w:p w:rsidR="00FF5707" w:rsidRPr="00A33C7C" w:rsidRDefault="00FF5707" w:rsidP="007C137F">
            <w:pPr>
              <w:rPr>
                <w:sz w:val="22"/>
                <w:szCs w:val="22"/>
              </w:rPr>
            </w:pPr>
            <w:r w:rsidRPr="00A33C7C">
              <w:rPr>
                <w:sz w:val="22"/>
                <w:szCs w:val="22"/>
              </w:rPr>
              <w:t>Porez na potrošnju</w:t>
            </w:r>
          </w:p>
        </w:tc>
        <w:tc>
          <w:tcPr>
            <w:tcW w:w="1275" w:type="dxa"/>
          </w:tcPr>
          <w:p w:rsidR="00FF5707" w:rsidRPr="00A33C7C" w:rsidRDefault="00FF5707" w:rsidP="007C137F">
            <w:pPr>
              <w:jc w:val="right"/>
              <w:rPr>
                <w:sz w:val="22"/>
                <w:szCs w:val="22"/>
              </w:rPr>
            </w:pPr>
            <w:r>
              <w:rPr>
                <w:sz w:val="22"/>
                <w:szCs w:val="22"/>
              </w:rPr>
              <w:t>9.063,75</w:t>
            </w:r>
          </w:p>
        </w:tc>
        <w:tc>
          <w:tcPr>
            <w:tcW w:w="1276" w:type="dxa"/>
          </w:tcPr>
          <w:p w:rsidR="00FF5707" w:rsidRDefault="00FF5707" w:rsidP="007C137F">
            <w:pPr>
              <w:jc w:val="right"/>
              <w:rPr>
                <w:sz w:val="22"/>
                <w:szCs w:val="22"/>
              </w:rPr>
            </w:pPr>
            <w:r>
              <w:rPr>
                <w:sz w:val="22"/>
                <w:szCs w:val="22"/>
              </w:rPr>
              <w:t>3.601,52</w:t>
            </w:r>
          </w:p>
        </w:tc>
      </w:tr>
      <w:tr w:rsidR="00FF5707" w:rsidRPr="00A33C7C" w:rsidTr="007C137F">
        <w:tc>
          <w:tcPr>
            <w:tcW w:w="740" w:type="dxa"/>
          </w:tcPr>
          <w:p w:rsidR="00FF5707" w:rsidRPr="00A33C7C" w:rsidRDefault="00FF5707" w:rsidP="007C137F">
            <w:pPr>
              <w:jc w:val="right"/>
              <w:rPr>
                <w:sz w:val="22"/>
                <w:szCs w:val="22"/>
              </w:rPr>
            </w:pPr>
            <w:r>
              <w:rPr>
                <w:sz w:val="22"/>
                <w:szCs w:val="22"/>
              </w:rPr>
              <w:t>12</w:t>
            </w:r>
            <w:r w:rsidRPr="00A33C7C">
              <w:rPr>
                <w:sz w:val="22"/>
                <w:szCs w:val="22"/>
              </w:rPr>
              <w:t>.</w:t>
            </w:r>
          </w:p>
        </w:tc>
        <w:tc>
          <w:tcPr>
            <w:tcW w:w="6031" w:type="dxa"/>
          </w:tcPr>
          <w:p w:rsidR="00FF5707" w:rsidRPr="00A33C7C" w:rsidRDefault="00FF5707" w:rsidP="007C137F">
            <w:pPr>
              <w:rPr>
                <w:sz w:val="22"/>
                <w:szCs w:val="22"/>
              </w:rPr>
            </w:pPr>
            <w:r w:rsidRPr="00A33C7C">
              <w:rPr>
                <w:sz w:val="22"/>
                <w:szCs w:val="22"/>
              </w:rPr>
              <w:t>Porez na korištenje javnih površina</w:t>
            </w:r>
          </w:p>
        </w:tc>
        <w:tc>
          <w:tcPr>
            <w:tcW w:w="1275" w:type="dxa"/>
          </w:tcPr>
          <w:p w:rsidR="00FF5707" w:rsidRPr="00A33C7C" w:rsidRDefault="00FF5707" w:rsidP="007C137F">
            <w:pPr>
              <w:jc w:val="right"/>
              <w:rPr>
                <w:sz w:val="22"/>
                <w:szCs w:val="22"/>
              </w:rPr>
            </w:pPr>
            <w:r>
              <w:rPr>
                <w:sz w:val="22"/>
                <w:szCs w:val="22"/>
              </w:rPr>
              <w:t>40.765,18</w:t>
            </w:r>
          </w:p>
        </w:tc>
        <w:tc>
          <w:tcPr>
            <w:tcW w:w="1276" w:type="dxa"/>
          </w:tcPr>
          <w:p w:rsidR="00FF5707" w:rsidRDefault="00FF5707" w:rsidP="007C137F">
            <w:pPr>
              <w:jc w:val="right"/>
              <w:rPr>
                <w:sz w:val="22"/>
                <w:szCs w:val="22"/>
              </w:rPr>
            </w:pPr>
            <w:r>
              <w:rPr>
                <w:sz w:val="22"/>
                <w:szCs w:val="22"/>
              </w:rPr>
              <w:t>21.317,75</w:t>
            </w:r>
          </w:p>
        </w:tc>
      </w:tr>
      <w:tr w:rsidR="00FF5707" w:rsidRPr="00A33C7C" w:rsidTr="007C137F">
        <w:tc>
          <w:tcPr>
            <w:tcW w:w="740" w:type="dxa"/>
          </w:tcPr>
          <w:p w:rsidR="00FF5707" w:rsidRDefault="00FF5707" w:rsidP="007C137F">
            <w:pPr>
              <w:jc w:val="right"/>
              <w:rPr>
                <w:sz w:val="22"/>
                <w:szCs w:val="22"/>
              </w:rPr>
            </w:pPr>
            <w:r>
              <w:rPr>
                <w:sz w:val="22"/>
                <w:szCs w:val="22"/>
              </w:rPr>
              <w:t>13.</w:t>
            </w:r>
          </w:p>
        </w:tc>
        <w:tc>
          <w:tcPr>
            <w:tcW w:w="6031" w:type="dxa"/>
          </w:tcPr>
          <w:p w:rsidR="00FF5707" w:rsidRPr="00A33C7C" w:rsidRDefault="00FF5707" w:rsidP="007C137F">
            <w:pPr>
              <w:rPr>
                <w:sz w:val="22"/>
                <w:szCs w:val="22"/>
              </w:rPr>
            </w:pPr>
            <w:r>
              <w:rPr>
                <w:sz w:val="22"/>
                <w:szCs w:val="22"/>
              </w:rPr>
              <w:t>Potraživanja za ostale prihode od nefin.imovine (zakup zemljišta)</w:t>
            </w:r>
          </w:p>
        </w:tc>
        <w:tc>
          <w:tcPr>
            <w:tcW w:w="1275" w:type="dxa"/>
          </w:tcPr>
          <w:p w:rsidR="00FF5707" w:rsidRDefault="00FF5707" w:rsidP="007C137F">
            <w:pPr>
              <w:jc w:val="right"/>
              <w:rPr>
                <w:sz w:val="22"/>
                <w:szCs w:val="22"/>
              </w:rPr>
            </w:pPr>
            <w:r>
              <w:rPr>
                <w:sz w:val="22"/>
                <w:szCs w:val="22"/>
              </w:rPr>
              <w:t>0,00</w:t>
            </w:r>
          </w:p>
        </w:tc>
        <w:tc>
          <w:tcPr>
            <w:tcW w:w="1276" w:type="dxa"/>
          </w:tcPr>
          <w:p w:rsidR="00FF5707" w:rsidRDefault="00FF5707" w:rsidP="007C137F">
            <w:pPr>
              <w:jc w:val="right"/>
              <w:rPr>
                <w:sz w:val="22"/>
                <w:szCs w:val="22"/>
              </w:rPr>
            </w:pPr>
            <w:r>
              <w:rPr>
                <w:sz w:val="22"/>
                <w:szCs w:val="22"/>
              </w:rPr>
              <w:t>1.035,24</w:t>
            </w:r>
          </w:p>
        </w:tc>
      </w:tr>
      <w:tr w:rsidR="00FF5707" w:rsidRPr="00A33C7C" w:rsidTr="007C137F">
        <w:tc>
          <w:tcPr>
            <w:tcW w:w="740" w:type="dxa"/>
          </w:tcPr>
          <w:p w:rsidR="00FF5707" w:rsidRPr="00A33C7C" w:rsidRDefault="00FF5707" w:rsidP="007C137F">
            <w:pPr>
              <w:jc w:val="right"/>
              <w:rPr>
                <w:sz w:val="22"/>
                <w:szCs w:val="22"/>
              </w:rPr>
            </w:pPr>
            <w:r>
              <w:rPr>
                <w:sz w:val="22"/>
                <w:szCs w:val="22"/>
              </w:rPr>
              <w:t>13</w:t>
            </w:r>
            <w:r w:rsidRPr="00A33C7C">
              <w:rPr>
                <w:sz w:val="22"/>
                <w:szCs w:val="22"/>
              </w:rPr>
              <w:t>.</w:t>
            </w:r>
          </w:p>
        </w:tc>
        <w:tc>
          <w:tcPr>
            <w:tcW w:w="6031" w:type="dxa"/>
          </w:tcPr>
          <w:p w:rsidR="00FF5707" w:rsidRPr="00A33C7C" w:rsidRDefault="00FF5707" w:rsidP="007C137F">
            <w:pPr>
              <w:rPr>
                <w:sz w:val="22"/>
                <w:szCs w:val="22"/>
              </w:rPr>
            </w:pPr>
            <w:r w:rsidRPr="00A33C7C">
              <w:rPr>
                <w:sz w:val="22"/>
                <w:szCs w:val="22"/>
              </w:rPr>
              <w:t>Naknada za legalizaciju</w:t>
            </w:r>
          </w:p>
        </w:tc>
        <w:tc>
          <w:tcPr>
            <w:tcW w:w="1275" w:type="dxa"/>
          </w:tcPr>
          <w:p w:rsidR="00FF5707" w:rsidRPr="00A33C7C" w:rsidRDefault="00FF5707" w:rsidP="007C137F">
            <w:pPr>
              <w:jc w:val="right"/>
              <w:rPr>
                <w:sz w:val="22"/>
                <w:szCs w:val="22"/>
              </w:rPr>
            </w:pPr>
            <w:r>
              <w:rPr>
                <w:sz w:val="22"/>
                <w:szCs w:val="22"/>
              </w:rPr>
              <w:t>473,58</w:t>
            </w:r>
          </w:p>
        </w:tc>
        <w:tc>
          <w:tcPr>
            <w:tcW w:w="1276" w:type="dxa"/>
          </w:tcPr>
          <w:p w:rsidR="00FF5707" w:rsidRDefault="00FF5707" w:rsidP="007C137F">
            <w:pPr>
              <w:jc w:val="right"/>
              <w:rPr>
                <w:sz w:val="22"/>
                <w:szCs w:val="22"/>
              </w:rPr>
            </w:pPr>
            <w:r>
              <w:rPr>
                <w:sz w:val="22"/>
                <w:szCs w:val="22"/>
              </w:rPr>
              <w:t>466,74</w:t>
            </w:r>
          </w:p>
        </w:tc>
      </w:tr>
      <w:tr w:rsidR="00FF5707" w:rsidRPr="00A33C7C" w:rsidTr="007C137F">
        <w:tc>
          <w:tcPr>
            <w:tcW w:w="740" w:type="dxa"/>
          </w:tcPr>
          <w:p w:rsidR="00FF5707" w:rsidRDefault="00FF5707" w:rsidP="007C137F">
            <w:pPr>
              <w:jc w:val="right"/>
              <w:rPr>
                <w:sz w:val="22"/>
                <w:szCs w:val="22"/>
              </w:rPr>
            </w:pPr>
            <w:r>
              <w:rPr>
                <w:sz w:val="22"/>
                <w:szCs w:val="22"/>
              </w:rPr>
              <w:t>14.</w:t>
            </w:r>
          </w:p>
        </w:tc>
        <w:tc>
          <w:tcPr>
            <w:tcW w:w="6031" w:type="dxa"/>
          </w:tcPr>
          <w:p w:rsidR="00FF5707" w:rsidRPr="00A33C7C" w:rsidRDefault="00FF5707" w:rsidP="007C137F">
            <w:pPr>
              <w:rPr>
                <w:sz w:val="22"/>
                <w:szCs w:val="22"/>
              </w:rPr>
            </w:pPr>
            <w:r>
              <w:rPr>
                <w:sz w:val="22"/>
                <w:szCs w:val="22"/>
              </w:rPr>
              <w:t>Potraživanje za trošak prisilne naplate</w:t>
            </w:r>
          </w:p>
        </w:tc>
        <w:tc>
          <w:tcPr>
            <w:tcW w:w="1275" w:type="dxa"/>
          </w:tcPr>
          <w:p w:rsidR="00FF5707" w:rsidRDefault="00FF5707" w:rsidP="007C137F">
            <w:pPr>
              <w:jc w:val="right"/>
              <w:rPr>
                <w:sz w:val="22"/>
                <w:szCs w:val="22"/>
              </w:rPr>
            </w:pPr>
            <w:r>
              <w:rPr>
                <w:sz w:val="22"/>
                <w:szCs w:val="22"/>
              </w:rPr>
              <w:t>583,93</w:t>
            </w:r>
          </w:p>
        </w:tc>
        <w:tc>
          <w:tcPr>
            <w:tcW w:w="1276" w:type="dxa"/>
          </w:tcPr>
          <w:p w:rsidR="00FF5707" w:rsidRDefault="00FF5707" w:rsidP="007C137F">
            <w:pPr>
              <w:jc w:val="right"/>
              <w:rPr>
                <w:sz w:val="22"/>
                <w:szCs w:val="22"/>
              </w:rPr>
            </w:pPr>
            <w:r>
              <w:rPr>
                <w:sz w:val="22"/>
                <w:szCs w:val="22"/>
              </w:rPr>
              <w:t>398,15</w:t>
            </w:r>
          </w:p>
        </w:tc>
      </w:tr>
      <w:tr w:rsidR="00FF5707" w:rsidRPr="00A33C7C" w:rsidTr="007C137F">
        <w:tc>
          <w:tcPr>
            <w:tcW w:w="740" w:type="dxa"/>
          </w:tcPr>
          <w:p w:rsidR="00FF5707" w:rsidRPr="00A33C7C" w:rsidRDefault="00FF5707" w:rsidP="007C137F">
            <w:pPr>
              <w:jc w:val="center"/>
              <w:rPr>
                <w:sz w:val="22"/>
                <w:szCs w:val="22"/>
              </w:rPr>
            </w:pPr>
          </w:p>
        </w:tc>
        <w:tc>
          <w:tcPr>
            <w:tcW w:w="6031" w:type="dxa"/>
          </w:tcPr>
          <w:p w:rsidR="00FF5707" w:rsidRPr="00A33C7C" w:rsidRDefault="00FF5707" w:rsidP="007C137F">
            <w:pPr>
              <w:jc w:val="right"/>
              <w:rPr>
                <w:b/>
                <w:sz w:val="22"/>
                <w:szCs w:val="22"/>
              </w:rPr>
            </w:pPr>
            <w:r w:rsidRPr="00A33C7C">
              <w:rPr>
                <w:b/>
                <w:sz w:val="22"/>
                <w:szCs w:val="22"/>
              </w:rPr>
              <w:t>UKUPNO</w:t>
            </w:r>
          </w:p>
        </w:tc>
        <w:tc>
          <w:tcPr>
            <w:tcW w:w="1275" w:type="dxa"/>
          </w:tcPr>
          <w:p w:rsidR="00FF5707" w:rsidRPr="00A33C7C" w:rsidRDefault="00FF5707" w:rsidP="007C137F">
            <w:pPr>
              <w:jc w:val="right"/>
              <w:rPr>
                <w:b/>
                <w:sz w:val="22"/>
                <w:szCs w:val="22"/>
              </w:rPr>
            </w:pPr>
            <w:r>
              <w:rPr>
                <w:b/>
                <w:sz w:val="22"/>
                <w:szCs w:val="22"/>
              </w:rPr>
              <w:fldChar w:fldCharType="begin"/>
            </w:r>
            <w:r>
              <w:rPr>
                <w:b/>
                <w:sz w:val="22"/>
                <w:szCs w:val="22"/>
              </w:rPr>
              <w:instrText xml:space="preserve"> =SUM(ABOVE) </w:instrText>
            </w:r>
            <w:r>
              <w:rPr>
                <w:b/>
                <w:sz w:val="22"/>
                <w:szCs w:val="22"/>
              </w:rPr>
              <w:fldChar w:fldCharType="separate"/>
            </w:r>
            <w:r>
              <w:rPr>
                <w:b/>
                <w:noProof/>
                <w:sz w:val="22"/>
                <w:szCs w:val="22"/>
              </w:rPr>
              <w:t>335.463,05</w:t>
            </w:r>
            <w:r>
              <w:rPr>
                <w:b/>
                <w:sz w:val="22"/>
                <w:szCs w:val="22"/>
              </w:rPr>
              <w:fldChar w:fldCharType="end"/>
            </w:r>
          </w:p>
        </w:tc>
        <w:tc>
          <w:tcPr>
            <w:tcW w:w="1276" w:type="dxa"/>
          </w:tcPr>
          <w:p w:rsidR="00FF5707" w:rsidRDefault="00FF5707" w:rsidP="007C137F">
            <w:pPr>
              <w:jc w:val="right"/>
              <w:rPr>
                <w:b/>
                <w:sz w:val="22"/>
                <w:szCs w:val="22"/>
              </w:rPr>
            </w:pPr>
            <w:r>
              <w:rPr>
                <w:b/>
                <w:sz w:val="22"/>
                <w:szCs w:val="22"/>
              </w:rPr>
              <w:fldChar w:fldCharType="begin"/>
            </w:r>
            <w:r>
              <w:rPr>
                <w:b/>
                <w:sz w:val="22"/>
                <w:szCs w:val="22"/>
              </w:rPr>
              <w:instrText xml:space="preserve"> =SUM(ABOVE) </w:instrText>
            </w:r>
            <w:r>
              <w:rPr>
                <w:b/>
                <w:sz w:val="22"/>
                <w:szCs w:val="22"/>
              </w:rPr>
              <w:fldChar w:fldCharType="separate"/>
            </w:r>
            <w:r>
              <w:rPr>
                <w:b/>
                <w:noProof/>
                <w:sz w:val="22"/>
                <w:szCs w:val="22"/>
              </w:rPr>
              <w:t>315.146,41</w:t>
            </w:r>
            <w:r>
              <w:rPr>
                <w:b/>
                <w:sz w:val="22"/>
                <w:szCs w:val="22"/>
              </w:rPr>
              <w:fldChar w:fldCharType="end"/>
            </w:r>
          </w:p>
        </w:tc>
      </w:tr>
    </w:tbl>
    <w:p w:rsidR="00FF5707" w:rsidRPr="00B83764" w:rsidRDefault="00FF5707" w:rsidP="00FF5707">
      <w:pPr>
        <w:rPr>
          <w:b/>
          <w:u w:val="single"/>
        </w:rPr>
      </w:pPr>
      <w:r>
        <w:rPr>
          <w:b/>
          <w:u w:val="single"/>
        </w:rPr>
        <w:lastRenderedPageBreak/>
        <w:t xml:space="preserve">2. </w:t>
      </w:r>
      <w:r w:rsidRPr="00B83764">
        <w:rPr>
          <w:b/>
          <w:u w:val="single"/>
        </w:rPr>
        <w:t>Izvještaj o obvezama</w:t>
      </w:r>
    </w:p>
    <w:p w:rsidR="00FF5707" w:rsidRPr="00B83764" w:rsidRDefault="00FF5707" w:rsidP="00FF5707">
      <w:pPr>
        <w:rPr>
          <w:b/>
        </w:rPr>
      </w:pPr>
    </w:p>
    <w:p w:rsidR="004A36F0" w:rsidRDefault="00ED6365" w:rsidP="00ED6365">
      <w:r>
        <w:t xml:space="preserve">Na kraju izvještajnog razdoblja je stanje obveza </w:t>
      </w:r>
      <w:r w:rsidR="00B738C6">
        <w:t>567.881,45</w:t>
      </w:r>
      <w:r>
        <w:t xml:space="preserve"> EUR</w:t>
      </w:r>
      <w:r w:rsidR="00602123">
        <w:t xml:space="preserve"> (Općina 557.684,75 eura + CZK 9.064,16 eura + DV Radost 1.132,54 eura)</w:t>
      </w:r>
      <w:r>
        <w:t xml:space="preserve">. </w:t>
      </w:r>
    </w:p>
    <w:p w:rsidR="004A36F0" w:rsidRDefault="004A36F0" w:rsidP="00ED6365">
      <w:r>
        <w:t xml:space="preserve">- </w:t>
      </w:r>
      <w:r w:rsidR="00ED6365">
        <w:t xml:space="preserve">Dospjele obveze iznose </w:t>
      </w:r>
      <w:r w:rsidR="00B738C6">
        <w:t xml:space="preserve">9.739,43 eura </w:t>
      </w:r>
      <w:r>
        <w:t>(</w:t>
      </w:r>
      <w:r w:rsidR="00B738C6">
        <w:t xml:space="preserve">odnose se na obveze Općine u iznosu od </w:t>
      </w:r>
      <w:r w:rsidR="00ED6365">
        <w:t>480,23 eura,</w:t>
      </w:r>
      <w:r w:rsidR="00B738C6">
        <w:t xml:space="preserve"> obveze CZK u iznosu od 8.126,66</w:t>
      </w:r>
      <w:r w:rsidR="002A0489">
        <w:t xml:space="preserve"> eura</w:t>
      </w:r>
      <w:r w:rsidR="00B738C6">
        <w:t xml:space="preserve"> i </w:t>
      </w:r>
      <w:r w:rsidR="00B9163F">
        <w:t>DV Radost</w:t>
      </w:r>
      <w:r w:rsidR="00B738C6">
        <w:t xml:space="preserve"> u iznosu od 1.132,54 eura</w:t>
      </w:r>
      <w:r>
        <w:t>).</w:t>
      </w:r>
      <w:r w:rsidR="00B738C6">
        <w:t xml:space="preserve"> </w:t>
      </w:r>
    </w:p>
    <w:p w:rsidR="004A36F0" w:rsidRDefault="004A36F0" w:rsidP="00ED6365">
      <w:r>
        <w:t>-</w:t>
      </w:r>
      <w:r w:rsidR="00B738C6">
        <w:t xml:space="preserve">Nedospjele obveze iznose 558.142,02 eura </w:t>
      </w:r>
      <w:r w:rsidR="00B9163F">
        <w:t>(</w:t>
      </w:r>
      <w:r w:rsidR="00B738C6">
        <w:t xml:space="preserve">od čega najveći dio otpada na Općinu </w:t>
      </w:r>
      <w:r w:rsidR="00B9163F">
        <w:t>557.061,35</w:t>
      </w:r>
      <w:r w:rsidR="00B738C6">
        <w:t xml:space="preserve"> eura</w:t>
      </w:r>
      <w:r>
        <w:t>, a 937,50 eura na CZK</w:t>
      </w:r>
      <w:r w:rsidR="00B9163F">
        <w:t>)</w:t>
      </w:r>
      <w:r>
        <w:t>.</w:t>
      </w:r>
    </w:p>
    <w:p w:rsidR="004A36F0" w:rsidRDefault="004A36F0" w:rsidP="00ED6365">
      <w:r>
        <w:t>- Knjižnica nema nepodmirenih obveza.</w:t>
      </w:r>
    </w:p>
    <w:p w:rsidR="00ED6365" w:rsidRDefault="00602123" w:rsidP="00ED6365">
      <w:pPr>
        <w:pBdr>
          <w:bottom w:val="single" w:sz="12" w:space="1" w:color="auto"/>
        </w:pBdr>
        <w:spacing w:before="100" w:beforeAutospacing="1" w:after="100" w:afterAutospacing="1"/>
        <w:jc w:val="both"/>
        <w:rPr>
          <w:b/>
        </w:rPr>
      </w:pPr>
      <w:r>
        <w:rPr>
          <w:b/>
        </w:rPr>
        <w:t xml:space="preserve">a) Općina Vela Luka - </w:t>
      </w:r>
      <w:r w:rsidR="00ED6365">
        <w:rPr>
          <w:b/>
        </w:rPr>
        <w:t>OBVEZE na dan 31.12.2025. godine iznose 5</w:t>
      </w:r>
      <w:r>
        <w:rPr>
          <w:b/>
        </w:rPr>
        <w:t>57</w:t>
      </w:r>
      <w:r w:rsidR="00ED6365">
        <w:rPr>
          <w:b/>
        </w:rPr>
        <w:t>.</w:t>
      </w:r>
      <w:r>
        <w:rPr>
          <w:b/>
        </w:rPr>
        <w:t>684,75</w:t>
      </w:r>
      <w:r w:rsidR="00ED6365">
        <w:rPr>
          <w:b/>
        </w:rPr>
        <w:t xml:space="preserve"> EUR</w:t>
      </w:r>
      <w:r>
        <w:rPr>
          <w:b/>
        </w:rPr>
        <w:t xml:space="preserve"> </w:t>
      </w:r>
      <w:r w:rsidRPr="00837D14">
        <w:t>(575.410,15 eura- 17.725,40 eura što je prenijeto stanje s računa CZK i Knjižnice)</w:t>
      </w:r>
      <w:r w:rsidR="00ED6365" w:rsidRPr="00837D14">
        <w:t>:</w:t>
      </w:r>
    </w:p>
    <w:p w:rsidR="00ED6365" w:rsidRDefault="00ED6365" w:rsidP="00ED6365">
      <w:pPr>
        <w:ind w:left="360"/>
        <w:jc w:val="both"/>
      </w:pPr>
      <w:r>
        <w:t>1. Neizmirene obveze prema dobavljačima iznose ………………………..165.199,41 eura</w:t>
      </w:r>
    </w:p>
    <w:p w:rsidR="00ED6365" w:rsidRDefault="00ED6365" w:rsidP="00ED6365">
      <w:pPr>
        <w:ind w:left="360"/>
        <w:jc w:val="both"/>
      </w:pPr>
      <w:r>
        <w:t>2. Obveze za otkupe zemljišta (plaćanje nakon uknjižbe) iznose ………..…..8.892,98 eura</w:t>
      </w:r>
    </w:p>
    <w:p w:rsidR="00ED6365" w:rsidRDefault="00ED6365" w:rsidP="00ED6365">
      <w:pPr>
        <w:ind w:left="360"/>
        <w:jc w:val="both"/>
      </w:pPr>
      <w:r>
        <w:t xml:space="preserve">3. Rashodi budućih razdoblja za novorođenu djecu – obveze za 3. dijete i više u obitelji </w:t>
      </w:r>
    </w:p>
    <w:p w:rsidR="00ED6365" w:rsidRDefault="00ED6365" w:rsidP="00ED6365">
      <w:pPr>
        <w:ind w:left="360"/>
        <w:jc w:val="both"/>
      </w:pPr>
      <w:r>
        <w:t>- isplata mjesečno kroz 5 godina iznose ……………………………………27.141,95 eura</w:t>
      </w:r>
    </w:p>
    <w:p w:rsidR="00ED6365" w:rsidRDefault="00ED6365" w:rsidP="00ED6365">
      <w:pPr>
        <w:ind w:left="360"/>
        <w:jc w:val="both"/>
      </w:pPr>
      <w:r>
        <w:t>4. Rashodi budućih razdoblja za najam zemljišta – A. R…...……….……….. 106,19 eura</w:t>
      </w:r>
    </w:p>
    <w:p w:rsidR="00ED6365" w:rsidRDefault="00ED6365" w:rsidP="00ED6365">
      <w:pPr>
        <w:ind w:left="360"/>
        <w:jc w:val="both"/>
      </w:pPr>
      <w:r>
        <w:t>5. Obveze za primljene jamčevine …………………………………………11.989,43 eura</w:t>
      </w:r>
    </w:p>
    <w:p w:rsidR="00ED6365" w:rsidRDefault="00ED6365" w:rsidP="00ED6365">
      <w:pPr>
        <w:ind w:left="360"/>
        <w:jc w:val="both"/>
      </w:pPr>
      <w:r>
        <w:t>6. Obveze za HRVATSKE VODE …………………………………….…... 7.890,68 eura</w:t>
      </w:r>
    </w:p>
    <w:p w:rsidR="00ED6365" w:rsidRDefault="00ED6365" w:rsidP="00ED6365">
      <w:pPr>
        <w:pBdr>
          <w:bottom w:val="single" w:sz="12" w:space="1" w:color="auto"/>
        </w:pBdr>
        <w:ind w:left="360"/>
        <w:jc w:val="both"/>
      </w:pPr>
      <w:r>
        <w:t>7. Obveze za naknadu za legalizaciju ……………………………………...…326,71 eura</w:t>
      </w:r>
    </w:p>
    <w:p w:rsidR="00ED6365" w:rsidRDefault="00ED6365" w:rsidP="00ED6365">
      <w:pPr>
        <w:pBdr>
          <w:bottom w:val="single" w:sz="12" w:space="1" w:color="auto"/>
        </w:pBdr>
        <w:ind w:left="360"/>
        <w:jc w:val="both"/>
      </w:pPr>
      <w:r>
        <w:t>8. Obveze za PDV po IR ……………………………………………….…...1.693,06 eura</w:t>
      </w:r>
    </w:p>
    <w:p w:rsidR="00ED6365" w:rsidRDefault="00ED6365" w:rsidP="00ED6365">
      <w:pPr>
        <w:pBdr>
          <w:bottom w:val="single" w:sz="12" w:space="1" w:color="auto"/>
        </w:pBdr>
        <w:ind w:left="360"/>
        <w:jc w:val="both"/>
      </w:pPr>
      <w:r>
        <w:t xml:space="preserve">9. Obveze za PDV po UR ………………………………………………… 13.068,57 eura </w:t>
      </w:r>
    </w:p>
    <w:p w:rsidR="00ED6365" w:rsidRDefault="00ED6365" w:rsidP="00ED6365">
      <w:pPr>
        <w:pBdr>
          <w:bottom w:val="single" w:sz="12" w:space="1" w:color="auto"/>
        </w:pBdr>
        <w:ind w:left="360"/>
      </w:pPr>
      <w:r>
        <w:t>10. Obveze za glavnicu i kamate-kredit HBOR-a za modernizaciju j. rasvjete LED tehnologijom     …………………………………………………………</w:t>
      </w:r>
      <w:r w:rsidR="000D633D">
        <w:t xml:space="preserve">………………… </w:t>
      </w:r>
      <w:r>
        <w:t>321.232,60 eura</w:t>
      </w:r>
    </w:p>
    <w:p w:rsidR="00107FF1" w:rsidRDefault="00ED6365" w:rsidP="00ED6365">
      <w:pPr>
        <w:pBdr>
          <w:bottom w:val="single" w:sz="12" w:space="1" w:color="auto"/>
        </w:pBdr>
        <w:ind w:left="360"/>
      </w:pPr>
      <w:r>
        <w:t>11. Obveze proračuna za proračunske korisnike…………………………..17.868,57 eura</w:t>
      </w:r>
      <w:r w:rsidR="00107FF1">
        <w:t xml:space="preserve"> </w:t>
      </w:r>
    </w:p>
    <w:p w:rsidR="002A0489" w:rsidRDefault="002A0489" w:rsidP="00ED6365">
      <w:pPr>
        <w:pBdr>
          <w:bottom w:val="single" w:sz="12" w:space="1" w:color="auto"/>
        </w:pBdr>
        <w:ind w:left="360"/>
      </w:pPr>
    </w:p>
    <w:p w:rsidR="00ED6365" w:rsidRDefault="00107FF1" w:rsidP="00ED6365">
      <w:pPr>
        <w:pBdr>
          <w:bottom w:val="single" w:sz="12" w:space="1" w:color="auto"/>
        </w:pBdr>
        <w:ind w:left="360"/>
      </w:pPr>
      <w:r>
        <w:t>(CZK 17.004,86 + Knjižnica 720,54 eura = 17.725,40 eura uplaćeno 31.12.25. na ž-r Općine + 143,17 eura (51,10 uplaćeno na naš račun umjesto od vrtića i 92,07 eura dio za integraciju djece).</w:t>
      </w:r>
      <w:r w:rsidR="00602123">
        <w:t xml:space="preserve"> Kako je banka već 31.12. onemogućila transakcije po ž-r vrtića te je i uplatu roditelja za vrtić usmjerila na </w:t>
      </w:r>
      <w:r w:rsidR="000D633D">
        <w:t>O</w:t>
      </w:r>
      <w:r w:rsidR="00602123">
        <w:t xml:space="preserve">pćinu već 31.12. i nije odradila prijenos stanja s računa vrtića 31.12. već 02.01.26. </w:t>
      </w:r>
      <w:r w:rsidR="000D633D">
        <w:t xml:space="preserve">tako </w:t>
      </w:r>
      <w:r w:rsidR="00602123">
        <w:t>je iznos od 5.636,24 eura</w:t>
      </w:r>
      <w:r w:rsidR="000D633D">
        <w:t xml:space="preserve"> bio na 31.12. na ž-r vrtića i</w:t>
      </w:r>
      <w:r w:rsidR="00602123">
        <w:t xml:space="preserve"> prenijet od strane banke s računa vrtića na račun Općine</w:t>
      </w:r>
      <w:r w:rsidR="000D633D">
        <w:t xml:space="preserve"> tek 02.01.</w:t>
      </w:r>
    </w:p>
    <w:p w:rsidR="00ED6365" w:rsidRDefault="00ED6365" w:rsidP="00ED6365">
      <w:pPr>
        <w:rPr>
          <w:b/>
          <w:u w:val="single"/>
        </w:rPr>
      </w:pPr>
    </w:p>
    <w:p w:rsidR="00ED6365" w:rsidRDefault="00B12F2B" w:rsidP="00ED6365">
      <w:pPr>
        <w:jc w:val="both"/>
      </w:pPr>
      <w:r>
        <w:rPr>
          <w:b/>
        </w:rPr>
        <w:t xml:space="preserve">Tablica 15: </w:t>
      </w:r>
      <w:r w:rsidR="00ED6365">
        <w:rPr>
          <w:b/>
        </w:rPr>
        <w:t xml:space="preserve">Neizmirene obveze </w:t>
      </w:r>
      <w:r w:rsidR="00A83FCB">
        <w:rPr>
          <w:b/>
        </w:rPr>
        <w:t xml:space="preserve">Općine </w:t>
      </w:r>
      <w:r w:rsidR="00ED6365">
        <w:rPr>
          <w:b/>
        </w:rPr>
        <w:t>prema dobavljačima na dan 31.12.2025. godine u eurima: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6411"/>
        <w:gridCol w:w="1747"/>
      </w:tblGrid>
      <w:tr w:rsidR="00ED6365" w:rsidTr="00ED6365">
        <w:tc>
          <w:tcPr>
            <w:tcW w:w="1130" w:type="dxa"/>
            <w:tcBorders>
              <w:top w:val="single" w:sz="4" w:space="0" w:color="auto"/>
              <w:left w:val="single" w:sz="4" w:space="0" w:color="auto"/>
              <w:bottom w:val="single" w:sz="4" w:space="0" w:color="auto"/>
              <w:right w:val="single" w:sz="4" w:space="0" w:color="auto"/>
            </w:tcBorders>
            <w:hideMark/>
          </w:tcPr>
          <w:p w:rsidR="00ED6365" w:rsidRDefault="00ED6365">
            <w:pPr>
              <w:rPr>
                <w:b/>
                <w:sz w:val="22"/>
                <w:szCs w:val="22"/>
              </w:rPr>
            </w:pPr>
            <w:r>
              <w:rPr>
                <w:b/>
                <w:sz w:val="22"/>
                <w:szCs w:val="22"/>
              </w:rPr>
              <w:t>Red.broj</w:t>
            </w:r>
          </w:p>
        </w:tc>
        <w:tc>
          <w:tcPr>
            <w:tcW w:w="6411" w:type="dxa"/>
            <w:tcBorders>
              <w:top w:val="single" w:sz="4" w:space="0" w:color="auto"/>
              <w:left w:val="single" w:sz="4" w:space="0" w:color="auto"/>
              <w:bottom w:val="single" w:sz="4" w:space="0" w:color="auto"/>
              <w:right w:val="single" w:sz="4" w:space="0" w:color="auto"/>
            </w:tcBorders>
            <w:hideMark/>
          </w:tcPr>
          <w:p w:rsidR="00ED6365" w:rsidRDefault="00ED6365">
            <w:pPr>
              <w:rPr>
                <w:b/>
                <w:sz w:val="22"/>
                <w:szCs w:val="22"/>
              </w:rPr>
            </w:pPr>
            <w:r>
              <w:rPr>
                <w:b/>
                <w:sz w:val="22"/>
                <w:szCs w:val="22"/>
              </w:rPr>
              <w:t>Dobavljač</w:t>
            </w:r>
          </w:p>
        </w:tc>
        <w:tc>
          <w:tcPr>
            <w:tcW w:w="1747" w:type="dxa"/>
            <w:tcBorders>
              <w:top w:val="single" w:sz="4" w:space="0" w:color="auto"/>
              <w:left w:val="single" w:sz="4" w:space="0" w:color="auto"/>
              <w:bottom w:val="single" w:sz="4" w:space="0" w:color="auto"/>
              <w:right w:val="single" w:sz="4" w:space="0" w:color="auto"/>
            </w:tcBorders>
            <w:hideMark/>
          </w:tcPr>
          <w:p w:rsidR="00ED6365" w:rsidRDefault="00ED6365">
            <w:pPr>
              <w:jc w:val="right"/>
              <w:rPr>
                <w:b/>
                <w:sz w:val="22"/>
                <w:szCs w:val="22"/>
              </w:rPr>
            </w:pPr>
            <w:r>
              <w:rPr>
                <w:b/>
                <w:sz w:val="22"/>
                <w:szCs w:val="22"/>
              </w:rPr>
              <w:t>Ukupno  dugovanje</w:t>
            </w:r>
          </w:p>
        </w:tc>
      </w:tr>
      <w:tr w:rsidR="00ED6365" w:rsidTr="00ED6365">
        <w:trPr>
          <w:trHeight w:val="70"/>
        </w:trPr>
        <w:tc>
          <w:tcPr>
            <w:tcW w:w="1130" w:type="dxa"/>
            <w:tcBorders>
              <w:top w:val="single" w:sz="4" w:space="0" w:color="auto"/>
              <w:left w:val="single" w:sz="4" w:space="0" w:color="auto"/>
              <w:bottom w:val="single" w:sz="4" w:space="0" w:color="auto"/>
              <w:right w:val="single" w:sz="4" w:space="0" w:color="auto"/>
            </w:tcBorders>
            <w:hideMark/>
          </w:tcPr>
          <w:p w:rsidR="00ED6365" w:rsidRDefault="00ED6365">
            <w:pPr>
              <w:jc w:val="center"/>
              <w:rPr>
                <w:sz w:val="22"/>
                <w:szCs w:val="22"/>
              </w:rPr>
            </w:pPr>
            <w:r>
              <w:rPr>
                <w:sz w:val="22"/>
                <w:szCs w:val="22"/>
              </w:rPr>
              <w:t>1.</w:t>
            </w:r>
          </w:p>
        </w:tc>
        <w:tc>
          <w:tcPr>
            <w:tcW w:w="6411" w:type="dxa"/>
            <w:tcBorders>
              <w:top w:val="single" w:sz="4" w:space="0" w:color="auto"/>
              <w:left w:val="single" w:sz="4" w:space="0" w:color="auto"/>
              <w:bottom w:val="single" w:sz="4" w:space="0" w:color="auto"/>
              <w:right w:val="single" w:sz="4" w:space="0" w:color="auto"/>
            </w:tcBorders>
            <w:hideMark/>
          </w:tcPr>
          <w:p w:rsidR="00ED6365" w:rsidRDefault="00ED6365">
            <w:pPr>
              <w:rPr>
                <w:sz w:val="22"/>
                <w:szCs w:val="22"/>
              </w:rPr>
            </w:pPr>
            <w:r>
              <w:rPr>
                <w:sz w:val="22"/>
                <w:szCs w:val="22"/>
              </w:rPr>
              <w:t>Komunalne djelatnosti d.o.o. Vela Luka</w:t>
            </w:r>
          </w:p>
        </w:tc>
        <w:tc>
          <w:tcPr>
            <w:tcW w:w="1747" w:type="dxa"/>
            <w:tcBorders>
              <w:top w:val="single" w:sz="4" w:space="0" w:color="auto"/>
              <w:left w:val="single" w:sz="4" w:space="0" w:color="auto"/>
              <w:bottom w:val="single" w:sz="4" w:space="0" w:color="auto"/>
              <w:right w:val="single" w:sz="4" w:space="0" w:color="auto"/>
            </w:tcBorders>
            <w:hideMark/>
          </w:tcPr>
          <w:p w:rsidR="00ED6365" w:rsidRDefault="00ED6365">
            <w:pPr>
              <w:jc w:val="right"/>
              <w:rPr>
                <w:sz w:val="22"/>
                <w:szCs w:val="22"/>
              </w:rPr>
            </w:pPr>
            <w:r>
              <w:rPr>
                <w:sz w:val="22"/>
                <w:szCs w:val="22"/>
              </w:rPr>
              <w:t>14.750,00</w:t>
            </w:r>
          </w:p>
        </w:tc>
      </w:tr>
      <w:tr w:rsidR="00ED6365" w:rsidTr="00ED6365">
        <w:trPr>
          <w:trHeight w:val="70"/>
        </w:trPr>
        <w:tc>
          <w:tcPr>
            <w:tcW w:w="1130" w:type="dxa"/>
            <w:tcBorders>
              <w:top w:val="single" w:sz="4" w:space="0" w:color="auto"/>
              <w:left w:val="single" w:sz="4" w:space="0" w:color="auto"/>
              <w:bottom w:val="single" w:sz="4" w:space="0" w:color="auto"/>
              <w:right w:val="single" w:sz="4" w:space="0" w:color="auto"/>
            </w:tcBorders>
            <w:hideMark/>
          </w:tcPr>
          <w:p w:rsidR="00ED6365" w:rsidRDefault="00ED6365">
            <w:pPr>
              <w:jc w:val="center"/>
              <w:rPr>
                <w:sz w:val="22"/>
                <w:szCs w:val="22"/>
              </w:rPr>
            </w:pPr>
            <w:r>
              <w:rPr>
                <w:sz w:val="22"/>
                <w:szCs w:val="22"/>
              </w:rPr>
              <w:t>2.</w:t>
            </w:r>
          </w:p>
        </w:tc>
        <w:tc>
          <w:tcPr>
            <w:tcW w:w="6411" w:type="dxa"/>
            <w:tcBorders>
              <w:top w:val="single" w:sz="4" w:space="0" w:color="auto"/>
              <w:left w:val="single" w:sz="4" w:space="0" w:color="auto"/>
              <w:bottom w:val="single" w:sz="4" w:space="0" w:color="auto"/>
              <w:right w:val="single" w:sz="4" w:space="0" w:color="auto"/>
            </w:tcBorders>
            <w:hideMark/>
          </w:tcPr>
          <w:p w:rsidR="00ED6365" w:rsidRDefault="00ED6365">
            <w:pPr>
              <w:rPr>
                <w:sz w:val="22"/>
                <w:szCs w:val="22"/>
              </w:rPr>
            </w:pPr>
            <w:r>
              <w:rPr>
                <w:sz w:val="22"/>
                <w:szCs w:val="22"/>
              </w:rPr>
              <w:t>EXIT INFORMATIKA Vela Luka</w:t>
            </w:r>
          </w:p>
        </w:tc>
        <w:tc>
          <w:tcPr>
            <w:tcW w:w="1747" w:type="dxa"/>
            <w:tcBorders>
              <w:top w:val="single" w:sz="4" w:space="0" w:color="auto"/>
              <w:left w:val="single" w:sz="4" w:space="0" w:color="auto"/>
              <w:bottom w:val="single" w:sz="4" w:space="0" w:color="auto"/>
              <w:right w:val="single" w:sz="4" w:space="0" w:color="auto"/>
            </w:tcBorders>
            <w:hideMark/>
          </w:tcPr>
          <w:p w:rsidR="00ED6365" w:rsidRDefault="00ED6365">
            <w:pPr>
              <w:jc w:val="right"/>
              <w:rPr>
                <w:sz w:val="22"/>
                <w:szCs w:val="22"/>
              </w:rPr>
            </w:pPr>
            <w:r>
              <w:rPr>
                <w:sz w:val="22"/>
                <w:szCs w:val="22"/>
              </w:rPr>
              <w:t>175,00</w:t>
            </w:r>
          </w:p>
        </w:tc>
      </w:tr>
      <w:tr w:rsidR="00ED6365" w:rsidTr="00ED6365">
        <w:tc>
          <w:tcPr>
            <w:tcW w:w="1130" w:type="dxa"/>
            <w:tcBorders>
              <w:top w:val="single" w:sz="4" w:space="0" w:color="auto"/>
              <w:left w:val="single" w:sz="4" w:space="0" w:color="auto"/>
              <w:bottom w:val="single" w:sz="4" w:space="0" w:color="auto"/>
              <w:right w:val="single" w:sz="4" w:space="0" w:color="auto"/>
            </w:tcBorders>
            <w:hideMark/>
          </w:tcPr>
          <w:p w:rsidR="00ED6365" w:rsidRDefault="00ED6365">
            <w:pPr>
              <w:jc w:val="center"/>
              <w:rPr>
                <w:sz w:val="22"/>
                <w:szCs w:val="22"/>
              </w:rPr>
            </w:pPr>
            <w:r>
              <w:rPr>
                <w:sz w:val="22"/>
                <w:szCs w:val="22"/>
              </w:rPr>
              <w:t>3.</w:t>
            </w:r>
          </w:p>
        </w:tc>
        <w:tc>
          <w:tcPr>
            <w:tcW w:w="6411" w:type="dxa"/>
            <w:tcBorders>
              <w:top w:val="single" w:sz="4" w:space="0" w:color="auto"/>
              <w:left w:val="single" w:sz="4" w:space="0" w:color="auto"/>
              <w:bottom w:val="single" w:sz="4" w:space="0" w:color="auto"/>
              <w:right w:val="single" w:sz="4" w:space="0" w:color="auto"/>
            </w:tcBorders>
            <w:hideMark/>
          </w:tcPr>
          <w:p w:rsidR="00ED6365" w:rsidRDefault="00ED6365">
            <w:pPr>
              <w:rPr>
                <w:sz w:val="22"/>
                <w:szCs w:val="22"/>
              </w:rPr>
            </w:pPr>
            <w:r>
              <w:rPr>
                <w:sz w:val="22"/>
                <w:szCs w:val="22"/>
              </w:rPr>
              <w:t>AUTOTRANS D.D. CRES</w:t>
            </w:r>
          </w:p>
        </w:tc>
        <w:tc>
          <w:tcPr>
            <w:tcW w:w="1747" w:type="dxa"/>
            <w:tcBorders>
              <w:top w:val="single" w:sz="4" w:space="0" w:color="auto"/>
              <w:left w:val="single" w:sz="4" w:space="0" w:color="auto"/>
              <w:bottom w:val="single" w:sz="4" w:space="0" w:color="auto"/>
              <w:right w:val="single" w:sz="4" w:space="0" w:color="auto"/>
            </w:tcBorders>
            <w:hideMark/>
          </w:tcPr>
          <w:p w:rsidR="00ED6365" w:rsidRDefault="00ED6365">
            <w:pPr>
              <w:jc w:val="right"/>
              <w:rPr>
                <w:sz w:val="22"/>
                <w:szCs w:val="22"/>
              </w:rPr>
            </w:pPr>
            <w:r>
              <w:rPr>
                <w:sz w:val="22"/>
                <w:szCs w:val="22"/>
              </w:rPr>
              <w:t>8.919,47</w:t>
            </w:r>
          </w:p>
        </w:tc>
      </w:tr>
      <w:tr w:rsidR="00ED6365" w:rsidTr="00ED6365">
        <w:tc>
          <w:tcPr>
            <w:tcW w:w="1130" w:type="dxa"/>
            <w:tcBorders>
              <w:top w:val="single" w:sz="4" w:space="0" w:color="auto"/>
              <w:left w:val="single" w:sz="4" w:space="0" w:color="auto"/>
              <w:bottom w:val="single" w:sz="4" w:space="0" w:color="auto"/>
              <w:right w:val="single" w:sz="4" w:space="0" w:color="auto"/>
            </w:tcBorders>
            <w:hideMark/>
          </w:tcPr>
          <w:p w:rsidR="00ED6365" w:rsidRDefault="00ED6365">
            <w:pPr>
              <w:jc w:val="center"/>
              <w:rPr>
                <w:sz w:val="22"/>
                <w:szCs w:val="22"/>
              </w:rPr>
            </w:pPr>
            <w:r>
              <w:rPr>
                <w:sz w:val="22"/>
                <w:szCs w:val="22"/>
              </w:rPr>
              <w:t>4.</w:t>
            </w:r>
          </w:p>
        </w:tc>
        <w:tc>
          <w:tcPr>
            <w:tcW w:w="6411" w:type="dxa"/>
            <w:tcBorders>
              <w:top w:val="single" w:sz="4" w:space="0" w:color="auto"/>
              <w:left w:val="single" w:sz="4" w:space="0" w:color="auto"/>
              <w:bottom w:val="single" w:sz="4" w:space="0" w:color="auto"/>
              <w:right w:val="single" w:sz="4" w:space="0" w:color="auto"/>
            </w:tcBorders>
            <w:hideMark/>
          </w:tcPr>
          <w:p w:rsidR="00ED6365" w:rsidRDefault="00ED6365">
            <w:pPr>
              <w:rPr>
                <w:sz w:val="22"/>
                <w:szCs w:val="22"/>
              </w:rPr>
            </w:pPr>
            <w:r>
              <w:rPr>
                <w:sz w:val="22"/>
                <w:szCs w:val="22"/>
              </w:rPr>
              <w:t>RELIANCE D.O.O. SPLIT</w:t>
            </w:r>
          </w:p>
        </w:tc>
        <w:tc>
          <w:tcPr>
            <w:tcW w:w="1747" w:type="dxa"/>
            <w:tcBorders>
              <w:top w:val="single" w:sz="4" w:space="0" w:color="auto"/>
              <w:left w:val="single" w:sz="4" w:space="0" w:color="auto"/>
              <w:bottom w:val="single" w:sz="4" w:space="0" w:color="auto"/>
              <w:right w:val="single" w:sz="4" w:space="0" w:color="auto"/>
            </w:tcBorders>
            <w:hideMark/>
          </w:tcPr>
          <w:p w:rsidR="00ED6365" w:rsidRDefault="00ED6365">
            <w:pPr>
              <w:jc w:val="right"/>
              <w:rPr>
                <w:sz w:val="22"/>
                <w:szCs w:val="22"/>
              </w:rPr>
            </w:pPr>
            <w:r>
              <w:rPr>
                <w:sz w:val="22"/>
                <w:szCs w:val="22"/>
              </w:rPr>
              <w:t>62.104,23</w:t>
            </w:r>
          </w:p>
        </w:tc>
      </w:tr>
      <w:tr w:rsidR="00ED6365" w:rsidTr="00ED6365">
        <w:tc>
          <w:tcPr>
            <w:tcW w:w="1130" w:type="dxa"/>
            <w:tcBorders>
              <w:top w:val="single" w:sz="4" w:space="0" w:color="auto"/>
              <w:left w:val="single" w:sz="4" w:space="0" w:color="auto"/>
              <w:bottom w:val="single" w:sz="4" w:space="0" w:color="auto"/>
              <w:right w:val="single" w:sz="4" w:space="0" w:color="auto"/>
            </w:tcBorders>
            <w:hideMark/>
          </w:tcPr>
          <w:p w:rsidR="00ED6365" w:rsidRDefault="00ED6365">
            <w:pPr>
              <w:jc w:val="center"/>
              <w:rPr>
                <w:sz w:val="22"/>
                <w:szCs w:val="22"/>
              </w:rPr>
            </w:pPr>
            <w:r>
              <w:rPr>
                <w:sz w:val="22"/>
                <w:szCs w:val="22"/>
              </w:rPr>
              <w:t>5.</w:t>
            </w:r>
          </w:p>
        </w:tc>
        <w:tc>
          <w:tcPr>
            <w:tcW w:w="6411" w:type="dxa"/>
            <w:tcBorders>
              <w:top w:val="single" w:sz="4" w:space="0" w:color="auto"/>
              <w:left w:val="single" w:sz="4" w:space="0" w:color="auto"/>
              <w:bottom w:val="single" w:sz="4" w:space="0" w:color="auto"/>
              <w:right w:val="single" w:sz="4" w:space="0" w:color="auto"/>
            </w:tcBorders>
            <w:hideMark/>
          </w:tcPr>
          <w:p w:rsidR="00ED6365" w:rsidRDefault="00ED6365">
            <w:pPr>
              <w:rPr>
                <w:sz w:val="22"/>
                <w:szCs w:val="22"/>
              </w:rPr>
            </w:pPr>
            <w:r>
              <w:rPr>
                <w:sz w:val="22"/>
                <w:szCs w:val="22"/>
              </w:rPr>
              <w:t>ARHITEKTONSKI KOLEKTIV D.O.O. SPLIT</w:t>
            </w:r>
          </w:p>
        </w:tc>
        <w:tc>
          <w:tcPr>
            <w:tcW w:w="1747" w:type="dxa"/>
            <w:tcBorders>
              <w:top w:val="single" w:sz="4" w:space="0" w:color="auto"/>
              <w:left w:val="single" w:sz="4" w:space="0" w:color="auto"/>
              <w:bottom w:val="single" w:sz="4" w:space="0" w:color="auto"/>
              <w:right w:val="single" w:sz="4" w:space="0" w:color="auto"/>
            </w:tcBorders>
            <w:hideMark/>
          </w:tcPr>
          <w:p w:rsidR="00ED6365" w:rsidRDefault="00ED6365">
            <w:pPr>
              <w:jc w:val="right"/>
              <w:rPr>
                <w:sz w:val="22"/>
                <w:szCs w:val="22"/>
              </w:rPr>
            </w:pPr>
            <w:r>
              <w:rPr>
                <w:sz w:val="22"/>
                <w:szCs w:val="22"/>
              </w:rPr>
              <w:t>3.561,25</w:t>
            </w:r>
          </w:p>
        </w:tc>
      </w:tr>
      <w:tr w:rsidR="00ED6365" w:rsidTr="00ED6365">
        <w:trPr>
          <w:trHeight w:val="70"/>
        </w:trPr>
        <w:tc>
          <w:tcPr>
            <w:tcW w:w="1130" w:type="dxa"/>
            <w:tcBorders>
              <w:top w:val="single" w:sz="4" w:space="0" w:color="auto"/>
              <w:left w:val="single" w:sz="4" w:space="0" w:color="auto"/>
              <w:bottom w:val="single" w:sz="4" w:space="0" w:color="auto"/>
              <w:right w:val="single" w:sz="4" w:space="0" w:color="auto"/>
            </w:tcBorders>
            <w:hideMark/>
          </w:tcPr>
          <w:p w:rsidR="00ED6365" w:rsidRDefault="00ED6365">
            <w:pPr>
              <w:jc w:val="center"/>
              <w:rPr>
                <w:sz w:val="22"/>
                <w:szCs w:val="22"/>
              </w:rPr>
            </w:pPr>
            <w:r>
              <w:rPr>
                <w:sz w:val="22"/>
                <w:szCs w:val="22"/>
              </w:rPr>
              <w:t>6.</w:t>
            </w:r>
          </w:p>
        </w:tc>
        <w:tc>
          <w:tcPr>
            <w:tcW w:w="6411" w:type="dxa"/>
            <w:tcBorders>
              <w:top w:val="single" w:sz="4" w:space="0" w:color="auto"/>
              <w:left w:val="single" w:sz="4" w:space="0" w:color="auto"/>
              <w:bottom w:val="single" w:sz="4" w:space="0" w:color="auto"/>
              <w:right w:val="single" w:sz="4" w:space="0" w:color="auto"/>
            </w:tcBorders>
            <w:hideMark/>
          </w:tcPr>
          <w:p w:rsidR="00ED6365" w:rsidRDefault="00ED6365">
            <w:pPr>
              <w:rPr>
                <w:sz w:val="22"/>
                <w:szCs w:val="22"/>
              </w:rPr>
            </w:pPr>
            <w:r>
              <w:rPr>
                <w:sz w:val="22"/>
                <w:szCs w:val="22"/>
              </w:rPr>
              <w:t>HEP OPSKRBA D.O.O. ZG</w:t>
            </w:r>
          </w:p>
        </w:tc>
        <w:tc>
          <w:tcPr>
            <w:tcW w:w="1747" w:type="dxa"/>
            <w:tcBorders>
              <w:top w:val="single" w:sz="4" w:space="0" w:color="auto"/>
              <w:left w:val="single" w:sz="4" w:space="0" w:color="auto"/>
              <w:bottom w:val="single" w:sz="4" w:space="0" w:color="auto"/>
              <w:right w:val="single" w:sz="4" w:space="0" w:color="auto"/>
            </w:tcBorders>
            <w:hideMark/>
          </w:tcPr>
          <w:p w:rsidR="00ED6365" w:rsidRDefault="00ED6365">
            <w:pPr>
              <w:jc w:val="right"/>
              <w:rPr>
                <w:sz w:val="22"/>
                <w:szCs w:val="22"/>
              </w:rPr>
            </w:pPr>
            <w:r>
              <w:rPr>
                <w:sz w:val="22"/>
                <w:szCs w:val="22"/>
              </w:rPr>
              <w:t>2.850,79</w:t>
            </w:r>
          </w:p>
        </w:tc>
      </w:tr>
      <w:tr w:rsidR="00ED6365" w:rsidTr="00ED6365">
        <w:trPr>
          <w:trHeight w:val="70"/>
        </w:trPr>
        <w:tc>
          <w:tcPr>
            <w:tcW w:w="1130" w:type="dxa"/>
            <w:tcBorders>
              <w:top w:val="single" w:sz="4" w:space="0" w:color="auto"/>
              <w:left w:val="single" w:sz="4" w:space="0" w:color="auto"/>
              <w:bottom w:val="single" w:sz="4" w:space="0" w:color="auto"/>
              <w:right w:val="single" w:sz="4" w:space="0" w:color="auto"/>
            </w:tcBorders>
            <w:hideMark/>
          </w:tcPr>
          <w:p w:rsidR="00ED6365" w:rsidRDefault="00ED6365">
            <w:pPr>
              <w:jc w:val="center"/>
              <w:rPr>
                <w:sz w:val="22"/>
                <w:szCs w:val="22"/>
              </w:rPr>
            </w:pPr>
            <w:r>
              <w:rPr>
                <w:sz w:val="22"/>
                <w:szCs w:val="22"/>
              </w:rPr>
              <w:t>7.</w:t>
            </w:r>
          </w:p>
        </w:tc>
        <w:tc>
          <w:tcPr>
            <w:tcW w:w="6411" w:type="dxa"/>
            <w:tcBorders>
              <w:top w:val="single" w:sz="4" w:space="0" w:color="auto"/>
              <w:left w:val="single" w:sz="4" w:space="0" w:color="auto"/>
              <w:bottom w:val="single" w:sz="4" w:space="0" w:color="auto"/>
              <w:right w:val="single" w:sz="4" w:space="0" w:color="auto"/>
            </w:tcBorders>
            <w:hideMark/>
          </w:tcPr>
          <w:p w:rsidR="00ED6365" w:rsidRDefault="00ED6365">
            <w:pPr>
              <w:rPr>
                <w:sz w:val="22"/>
                <w:szCs w:val="22"/>
              </w:rPr>
            </w:pPr>
            <w:r>
              <w:rPr>
                <w:sz w:val="22"/>
                <w:szCs w:val="22"/>
              </w:rPr>
              <w:t>OBRT AQUA LIGHT, BRNA</w:t>
            </w:r>
          </w:p>
        </w:tc>
        <w:tc>
          <w:tcPr>
            <w:tcW w:w="1747" w:type="dxa"/>
            <w:tcBorders>
              <w:top w:val="single" w:sz="4" w:space="0" w:color="auto"/>
              <w:left w:val="single" w:sz="4" w:space="0" w:color="auto"/>
              <w:bottom w:val="single" w:sz="4" w:space="0" w:color="auto"/>
              <w:right w:val="single" w:sz="4" w:space="0" w:color="auto"/>
            </w:tcBorders>
            <w:hideMark/>
          </w:tcPr>
          <w:p w:rsidR="00ED6365" w:rsidRDefault="00ED6365">
            <w:pPr>
              <w:jc w:val="right"/>
              <w:rPr>
                <w:sz w:val="22"/>
                <w:szCs w:val="22"/>
              </w:rPr>
            </w:pPr>
            <w:r>
              <w:rPr>
                <w:sz w:val="22"/>
                <w:szCs w:val="22"/>
              </w:rPr>
              <w:t>64,00</w:t>
            </w:r>
          </w:p>
        </w:tc>
      </w:tr>
      <w:tr w:rsidR="00ED6365" w:rsidTr="00ED6365">
        <w:trPr>
          <w:trHeight w:val="70"/>
        </w:trPr>
        <w:tc>
          <w:tcPr>
            <w:tcW w:w="1130" w:type="dxa"/>
            <w:tcBorders>
              <w:top w:val="single" w:sz="4" w:space="0" w:color="auto"/>
              <w:left w:val="single" w:sz="4" w:space="0" w:color="auto"/>
              <w:bottom w:val="single" w:sz="4" w:space="0" w:color="auto"/>
              <w:right w:val="single" w:sz="4" w:space="0" w:color="auto"/>
            </w:tcBorders>
            <w:hideMark/>
          </w:tcPr>
          <w:p w:rsidR="00ED6365" w:rsidRDefault="00ED6365">
            <w:pPr>
              <w:jc w:val="center"/>
              <w:rPr>
                <w:sz w:val="22"/>
                <w:szCs w:val="22"/>
              </w:rPr>
            </w:pPr>
            <w:r>
              <w:rPr>
                <w:sz w:val="22"/>
                <w:szCs w:val="22"/>
              </w:rPr>
              <w:t>8.</w:t>
            </w:r>
          </w:p>
        </w:tc>
        <w:tc>
          <w:tcPr>
            <w:tcW w:w="6411" w:type="dxa"/>
            <w:tcBorders>
              <w:top w:val="single" w:sz="4" w:space="0" w:color="auto"/>
              <w:left w:val="single" w:sz="4" w:space="0" w:color="auto"/>
              <w:bottom w:val="single" w:sz="4" w:space="0" w:color="auto"/>
              <w:right w:val="single" w:sz="4" w:space="0" w:color="auto"/>
            </w:tcBorders>
            <w:hideMark/>
          </w:tcPr>
          <w:p w:rsidR="00ED6365" w:rsidRDefault="00ED6365">
            <w:pPr>
              <w:rPr>
                <w:sz w:val="22"/>
                <w:szCs w:val="22"/>
              </w:rPr>
            </w:pPr>
            <w:r>
              <w:rPr>
                <w:sz w:val="22"/>
                <w:szCs w:val="22"/>
              </w:rPr>
              <w:t>TOMMY D.O.O. SPLIT</w:t>
            </w:r>
          </w:p>
        </w:tc>
        <w:tc>
          <w:tcPr>
            <w:tcW w:w="1747" w:type="dxa"/>
            <w:tcBorders>
              <w:top w:val="single" w:sz="4" w:space="0" w:color="auto"/>
              <w:left w:val="single" w:sz="4" w:space="0" w:color="auto"/>
              <w:bottom w:val="single" w:sz="4" w:space="0" w:color="auto"/>
              <w:right w:val="single" w:sz="4" w:space="0" w:color="auto"/>
            </w:tcBorders>
            <w:hideMark/>
          </w:tcPr>
          <w:p w:rsidR="00ED6365" w:rsidRDefault="00ED6365">
            <w:pPr>
              <w:jc w:val="right"/>
              <w:rPr>
                <w:sz w:val="22"/>
                <w:szCs w:val="22"/>
              </w:rPr>
            </w:pPr>
            <w:r>
              <w:rPr>
                <w:sz w:val="22"/>
                <w:szCs w:val="22"/>
              </w:rPr>
              <w:t>327,37</w:t>
            </w:r>
          </w:p>
        </w:tc>
      </w:tr>
      <w:tr w:rsidR="00ED6365" w:rsidTr="00ED6365">
        <w:trPr>
          <w:trHeight w:val="70"/>
        </w:trPr>
        <w:tc>
          <w:tcPr>
            <w:tcW w:w="1130" w:type="dxa"/>
            <w:tcBorders>
              <w:top w:val="single" w:sz="4" w:space="0" w:color="auto"/>
              <w:left w:val="single" w:sz="4" w:space="0" w:color="auto"/>
              <w:bottom w:val="single" w:sz="4" w:space="0" w:color="auto"/>
              <w:right w:val="single" w:sz="4" w:space="0" w:color="auto"/>
            </w:tcBorders>
            <w:hideMark/>
          </w:tcPr>
          <w:p w:rsidR="00ED6365" w:rsidRDefault="00ED6365">
            <w:pPr>
              <w:jc w:val="center"/>
              <w:rPr>
                <w:sz w:val="22"/>
                <w:szCs w:val="22"/>
              </w:rPr>
            </w:pPr>
            <w:r>
              <w:rPr>
                <w:sz w:val="22"/>
                <w:szCs w:val="22"/>
              </w:rPr>
              <w:t>9.</w:t>
            </w:r>
          </w:p>
        </w:tc>
        <w:tc>
          <w:tcPr>
            <w:tcW w:w="6411" w:type="dxa"/>
            <w:tcBorders>
              <w:top w:val="single" w:sz="4" w:space="0" w:color="auto"/>
              <w:left w:val="single" w:sz="4" w:space="0" w:color="auto"/>
              <w:bottom w:val="single" w:sz="4" w:space="0" w:color="auto"/>
              <w:right w:val="single" w:sz="4" w:space="0" w:color="auto"/>
            </w:tcBorders>
            <w:hideMark/>
          </w:tcPr>
          <w:p w:rsidR="00ED6365" w:rsidRDefault="00ED6365">
            <w:pPr>
              <w:rPr>
                <w:sz w:val="22"/>
                <w:szCs w:val="22"/>
              </w:rPr>
            </w:pPr>
            <w:r>
              <w:rPr>
                <w:sz w:val="22"/>
                <w:szCs w:val="22"/>
              </w:rPr>
              <w:t>CVJEĆARNICA DADA VELA LUKA</w:t>
            </w:r>
          </w:p>
        </w:tc>
        <w:tc>
          <w:tcPr>
            <w:tcW w:w="1747" w:type="dxa"/>
            <w:tcBorders>
              <w:top w:val="single" w:sz="4" w:space="0" w:color="auto"/>
              <w:left w:val="single" w:sz="4" w:space="0" w:color="auto"/>
              <w:bottom w:val="single" w:sz="4" w:space="0" w:color="auto"/>
              <w:right w:val="single" w:sz="4" w:space="0" w:color="auto"/>
            </w:tcBorders>
            <w:hideMark/>
          </w:tcPr>
          <w:p w:rsidR="00ED6365" w:rsidRDefault="00ED6365">
            <w:pPr>
              <w:jc w:val="right"/>
              <w:rPr>
                <w:sz w:val="22"/>
                <w:szCs w:val="22"/>
              </w:rPr>
            </w:pPr>
            <w:r>
              <w:rPr>
                <w:sz w:val="22"/>
                <w:szCs w:val="22"/>
              </w:rPr>
              <w:t>62,86</w:t>
            </w:r>
          </w:p>
        </w:tc>
      </w:tr>
      <w:tr w:rsidR="00ED6365" w:rsidTr="00ED6365">
        <w:trPr>
          <w:trHeight w:val="70"/>
        </w:trPr>
        <w:tc>
          <w:tcPr>
            <w:tcW w:w="1130" w:type="dxa"/>
            <w:tcBorders>
              <w:top w:val="single" w:sz="4" w:space="0" w:color="auto"/>
              <w:left w:val="single" w:sz="4" w:space="0" w:color="auto"/>
              <w:bottom w:val="single" w:sz="4" w:space="0" w:color="auto"/>
              <w:right w:val="single" w:sz="4" w:space="0" w:color="auto"/>
            </w:tcBorders>
            <w:hideMark/>
          </w:tcPr>
          <w:p w:rsidR="00ED6365" w:rsidRDefault="00ED6365">
            <w:pPr>
              <w:jc w:val="center"/>
              <w:rPr>
                <w:sz w:val="22"/>
                <w:szCs w:val="22"/>
              </w:rPr>
            </w:pPr>
            <w:r>
              <w:rPr>
                <w:sz w:val="22"/>
                <w:szCs w:val="22"/>
              </w:rPr>
              <w:t>10.</w:t>
            </w:r>
          </w:p>
        </w:tc>
        <w:tc>
          <w:tcPr>
            <w:tcW w:w="6411" w:type="dxa"/>
            <w:tcBorders>
              <w:top w:val="single" w:sz="4" w:space="0" w:color="auto"/>
              <w:left w:val="single" w:sz="4" w:space="0" w:color="auto"/>
              <w:bottom w:val="single" w:sz="4" w:space="0" w:color="auto"/>
              <w:right w:val="single" w:sz="4" w:space="0" w:color="auto"/>
            </w:tcBorders>
            <w:hideMark/>
          </w:tcPr>
          <w:p w:rsidR="00ED6365" w:rsidRDefault="00ED6365">
            <w:pPr>
              <w:rPr>
                <w:sz w:val="22"/>
                <w:szCs w:val="22"/>
              </w:rPr>
            </w:pPr>
            <w:r>
              <w:rPr>
                <w:sz w:val="22"/>
                <w:szCs w:val="22"/>
              </w:rPr>
              <w:t>ZAJEDNIČKI ODV.URED RJ I AM, V.LUKA</w:t>
            </w:r>
          </w:p>
        </w:tc>
        <w:tc>
          <w:tcPr>
            <w:tcW w:w="1747" w:type="dxa"/>
            <w:tcBorders>
              <w:top w:val="single" w:sz="4" w:space="0" w:color="auto"/>
              <w:left w:val="single" w:sz="4" w:space="0" w:color="auto"/>
              <w:bottom w:val="single" w:sz="4" w:space="0" w:color="auto"/>
              <w:right w:val="single" w:sz="4" w:space="0" w:color="auto"/>
            </w:tcBorders>
            <w:hideMark/>
          </w:tcPr>
          <w:p w:rsidR="00ED6365" w:rsidRDefault="00ED6365">
            <w:pPr>
              <w:jc w:val="right"/>
              <w:rPr>
                <w:sz w:val="22"/>
                <w:szCs w:val="22"/>
              </w:rPr>
            </w:pPr>
            <w:r>
              <w:rPr>
                <w:sz w:val="22"/>
                <w:szCs w:val="22"/>
              </w:rPr>
              <w:t>1.760,00</w:t>
            </w:r>
          </w:p>
        </w:tc>
      </w:tr>
      <w:tr w:rsidR="00ED6365" w:rsidTr="00ED6365">
        <w:trPr>
          <w:trHeight w:val="70"/>
        </w:trPr>
        <w:tc>
          <w:tcPr>
            <w:tcW w:w="1130" w:type="dxa"/>
            <w:tcBorders>
              <w:top w:val="single" w:sz="4" w:space="0" w:color="auto"/>
              <w:left w:val="single" w:sz="4" w:space="0" w:color="auto"/>
              <w:bottom w:val="single" w:sz="4" w:space="0" w:color="auto"/>
              <w:right w:val="single" w:sz="4" w:space="0" w:color="auto"/>
            </w:tcBorders>
            <w:hideMark/>
          </w:tcPr>
          <w:p w:rsidR="00ED6365" w:rsidRDefault="00ED6365">
            <w:pPr>
              <w:jc w:val="center"/>
              <w:rPr>
                <w:sz w:val="22"/>
                <w:szCs w:val="22"/>
              </w:rPr>
            </w:pPr>
            <w:r>
              <w:rPr>
                <w:sz w:val="22"/>
                <w:szCs w:val="22"/>
              </w:rPr>
              <w:t>11.</w:t>
            </w:r>
          </w:p>
        </w:tc>
        <w:tc>
          <w:tcPr>
            <w:tcW w:w="6411" w:type="dxa"/>
            <w:tcBorders>
              <w:top w:val="single" w:sz="4" w:space="0" w:color="auto"/>
              <w:left w:val="single" w:sz="4" w:space="0" w:color="auto"/>
              <w:bottom w:val="single" w:sz="4" w:space="0" w:color="auto"/>
              <w:right w:val="single" w:sz="4" w:space="0" w:color="auto"/>
            </w:tcBorders>
            <w:hideMark/>
          </w:tcPr>
          <w:p w:rsidR="00ED6365" w:rsidRDefault="00ED6365">
            <w:pPr>
              <w:rPr>
                <w:sz w:val="22"/>
                <w:szCs w:val="22"/>
              </w:rPr>
            </w:pPr>
            <w:r>
              <w:rPr>
                <w:sz w:val="22"/>
                <w:szCs w:val="22"/>
              </w:rPr>
              <w:t>GAUSS D.O.O. SPLIT</w:t>
            </w:r>
          </w:p>
        </w:tc>
        <w:tc>
          <w:tcPr>
            <w:tcW w:w="1747" w:type="dxa"/>
            <w:tcBorders>
              <w:top w:val="single" w:sz="4" w:space="0" w:color="auto"/>
              <w:left w:val="single" w:sz="4" w:space="0" w:color="auto"/>
              <w:bottom w:val="single" w:sz="4" w:space="0" w:color="auto"/>
              <w:right w:val="single" w:sz="4" w:space="0" w:color="auto"/>
            </w:tcBorders>
            <w:hideMark/>
          </w:tcPr>
          <w:p w:rsidR="00ED6365" w:rsidRDefault="00ED6365">
            <w:pPr>
              <w:jc w:val="right"/>
              <w:rPr>
                <w:sz w:val="22"/>
                <w:szCs w:val="22"/>
              </w:rPr>
            </w:pPr>
            <w:r>
              <w:rPr>
                <w:sz w:val="22"/>
                <w:szCs w:val="22"/>
              </w:rPr>
              <w:t>2.812,50</w:t>
            </w:r>
          </w:p>
        </w:tc>
      </w:tr>
      <w:tr w:rsidR="00ED6365" w:rsidTr="00ED6365">
        <w:trPr>
          <w:trHeight w:val="70"/>
        </w:trPr>
        <w:tc>
          <w:tcPr>
            <w:tcW w:w="1130" w:type="dxa"/>
            <w:tcBorders>
              <w:top w:val="single" w:sz="4" w:space="0" w:color="auto"/>
              <w:left w:val="single" w:sz="4" w:space="0" w:color="auto"/>
              <w:bottom w:val="single" w:sz="4" w:space="0" w:color="auto"/>
              <w:right w:val="single" w:sz="4" w:space="0" w:color="auto"/>
            </w:tcBorders>
            <w:hideMark/>
          </w:tcPr>
          <w:p w:rsidR="00ED6365" w:rsidRDefault="00ED6365">
            <w:pPr>
              <w:jc w:val="center"/>
              <w:rPr>
                <w:sz w:val="22"/>
                <w:szCs w:val="22"/>
              </w:rPr>
            </w:pPr>
            <w:r>
              <w:rPr>
                <w:sz w:val="22"/>
                <w:szCs w:val="22"/>
              </w:rPr>
              <w:t>12.</w:t>
            </w:r>
          </w:p>
        </w:tc>
        <w:tc>
          <w:tcPr>
            <w:tcW w:w="6411" w:type="dxa"/>
            <w:tcBorders>
              <w:top w:val="single" w:sz="4" w:space="0" w:color="auto"/>
              <w:left w:val="single" w:sz="4" w:space="0" w:color="auto"/>
              <w:bottom w:val="single" w:sz="4" w:space="0" w:color="auto"/>
              <w:right w:val="single" w:sz="4" w:space="0" w:color="auto"/>
            </w:tcBorders>
            <w:hideMark/>
          </w:tcPr>
          <w:p w:rsidR="00ED6365" w:rsidRDefault="00ED6365">
            <w:pPr>
              <w:rPr>
                <w:sz w:val="22"/>
                <w:szCs w:val="22"/>
              </w:rPr>
            </w:pPr>
            <w:r>
              <w:rPr>
                <w:sz w:val="22"/>
                <w:szCs w:val="22"/>
              </w:rPr>
              <w:t>BLITZ CLICK, DUBROVNIK</w:t>
            </w:r>
          </w:p>
        </w:tc>
        <w:tc>
          <w:tcPr>
            <w:tcW w:w="1747" w:type="dxa"/>
            <w:tcBorders>
              <w:top w:val="single" w:sz="4" w:space="0" w:color="auto"/>
              <w:left w:val="single" w:sz="4" w:space="0" w:color="auto"/>
              <w:bottom w:val="single" w:sz="4" w:space="0" w:color="auto"/>
              <w:right w:val="single" w:sz="4" w:space="0" w:color="auto"/>
            </w:tcBorders>
            <w:hideMark/>
          </w:tcPr>
          <w:p w:rsidR="00ED6365" w:rsidRDefault="00ED6365">
            <w:pPr>
              <w:jc w:val="right"/>
              <w:rPr>
                <w:sz w:val="22"/>
                <w:szCs w:val="22"/>
              </w:rPr>
            </w:pPr>
            <w:r>
              <w:rPr>
                <w:sz w:val="22"/>
                <w:szCs w:val="22"/>
              </w:rPr>
              <w:t>390,00</w:t>
            </w:r>
          </w:p>
        </w:tc>
      </w:tr>
      <w:tr w:rsidR="00ED6365" w:rsidTr="00ED6365">
        <w:trPr>
          <w:trHeight w:val="70"/>
        </w:trPr>
        <w:tc>
          <w:tcPr>
            <w:tcW w:w="1130" w:type="dxa"/>
            <w:tcBorders>
              <w:top w:val="single" w:sz="4" w:space="0" w:color="auto"/>
              <w:left w:val="single" w:sz="4" w:space="0" w:color="auto"/>
              <w:bottom w:val="single" w:sz="4" w:space="0" w:color="auto"/>
              <w:right w:val="single" w:sz="4" w:space="0" w:color="auto"/>
            </w:tcBorders>
            <w:hideMark/>
          </w:tcPr>
          <w:p w:rsidR="00ED6365" w:rsidRDefault="00ED6365">
            <w:pPr>
              <w:jc w:val="center"/>
              <w:rPr>
                <w:sz w:val="22"/>
                <w:szCs w:val="22"/>
              </w:rPr>
            </w:pPr>
            <w:r>
              <w:rPr>
                <w:sz w:val="22"/>
                <w:szCs w:val="22"/>
              </w:rPr>
              <w:t>13.</w:t>
            </w:r>
          </w:p>
        </w:tc>
        <w:tc>
          <w:tcPr>
            <w:tcW w:w="6411" w:type="dxa"/>
            <w:tcBorders>
              <w:top w:val="single" w:sz="4" w:space="0" w:color="auto"/>
              <w:left w:val="single" w:sz="4" w:space="0" w:color="auto"/>
              <w:bottom w:val="single" w:sz="4" w:space="0" w:color="auto"/>
              <w:right w:val="single" w:sz="4" w:space="0" w:color="auto"/>
            </w:tcBorders>
            <w:hideMark/>
          </w:tcPr>
          <w:p w:rsidR="00ED6365" w:rsidRDefault="00ED6365">
            <w:pPr>
              <w:rPr>
                <w:sz w:val="22"/>
                <w:szCs w:val="22"/>
              </w:rPr>
            </w:pPr>
            <w:r>
              <w:rPr>
                <w:sz w:val="22"/>
                <w:szCs w:val="22"/>
              </w:rPr>
              <w:t>NOVE VIBRACIJE D.O.O.SPLIT</w:t>
            </w:r>
          </w:p>
        </w:tc>
        <w:tc>
          <w:tcPr>
            <w:tcW w:w="1747" w:type="dxa"/>
            <w:tcBorders>
              <w:top w:val="single" w:sz="4" w:space="0" w:color="auto"/>
              <w:left w:val="single" w:sz="4" w:space="0" w:color="auto"/>
              <w:bottom w:val="single" w:sz="4" w:space="0" w:color="auto"/>
              <w:right w:val="single" w:sz="4" w:space="0" w:color="auto"/>
            </w:tcBorders>
            <w:hideMark/>
          </w:tcPr>
          <w:p w:rsidR="00ED6365" w:rsidRDefault="00ED6365">
            <w:pPr>
              <w:jc w:val="right"/>
              <w:rPr>
                <w:sz w:val="22"/>
                <w:szCs w:val="22"/>
              </w:rPr>
            </w:pPr>
            <w:r>
              <w:rPr>
                <w:sz w:val="22"/>
                <w:szCs w:val="22"/>
              </w:rPr>
              <w:t>140,63</w:t>
            </w:r>
          </w:p>
        </w:tc>
      </w:tr>
      <w:tr w:rsidR="00ED6365" w:rsidTr="00ED6365">
        <w:trPr>
          <w:trHeight w:val="70"/>
        </w:trPr>
        <w:tc>
          <w:tcPr>
            <w:tcW w:w="1130" w:type="dxa"/>
            <w:tcBorders>
              <w:top w:val="single" w:sz="4" w:space="0" w:color="auto"/>
              <w:left w:val="single" w:sz="4" w:space="0" w:color="auto"/>
              <w:bottom w:val="single" w:sz="4" w:space="0" w:color="auto"/>
              <w:right w:val="single" w:sz="4" w:space="0" w:color="auto"/>
            </w:tcBorders>
            <w:hideMark/>
          </w:tcPr>
          <w:p w:rsidR="00ED6365" w:rsidRDefault="00ED6365">
            <w:pPr>
              <w:jc w:val="center"/>
              <w:rPr>
                <w:sz w:val="22"/>
                <w:szCs w:val="22"/>
              </w:rPr>
            </w:pPr>
            <w:r>
              <w:rPr>
                <w:sz w:val="22"/>
                <w:szCs w:val="22"/>
              </w:rPr>
              <w:t>14.</w:t>
            </w:r>
          </w:p>
        </w:tc>
        <w:tc>
          <w:tcPr>
            <w:tcW w:w="6411" w:type="dxa"/>
            <w:tcBorders>
              <w:top w:val="single" w:sz="4" w:space="0" w:color="auto"/>
              <w:left w:val="single" w:sz="4" w:space="0" w:color="auto"/>
              <w:bottom w:val="single" w:sz="4" w:space="0" w:color="auto"/>
              <w:right w:val="single" w:sz="4" w:space="0" w:color="auto"/>
            </w:tcBorders>
            <w:hideMark/>
          </w:tcPr>
          <w:p w:rsidR="00ED6365" w:rsidRDefault="00ED6365">
            <w:pPr>
              <w:rPr>
                <w:sz w:val="22"/>
                <w:szCs w:val="22"/>
              </w:rPr>
            </w:pPr>
            <w:r>
              <w:rPr>
                <w:sz w:val="22"/>
                <w:szCs w:val="22"/>
              </w:rPr>
              <w:t>ASFALT INŽENJERING D.O.O.</w:t>
            </w:r>
          </w:p>
        </w:tc>
        <w:tc>
          <w:tcPr>
            <w:tcW w:w="1747" w:type="dxa"/>
            <w:tcBorders>
              <w:top w:val="single" w:sz="4" w:space="0" w:color="auto"/>
              <w:left w:val="single" w:sz="4" w:space="0" w:color="auto"/>
              <w:bottom w:val="single" w:sz="4" w:space="0" w:color="auto"/>
              <w:right w:val="single" w:sz="4" w:space="0" w:color="auto"/>
            </w:tcBorders>
            <w:hideMark/>
          </w:tcPr>
          <w:p w:rsidR="00ED6365" w:rsidRDefault="00ED6365">
            <w:pPr>
              <w:jc w:val="right"/>
              <w:rPr>
                <w:sz w:val="22"/>
                <w:szCs w:val="22"/>
              </w:rPr>
            </w:pPr>
            <w:r>
              <w:rPr>
                <w:sz w:val="22"/>
                <w:szCs w:val="22"/>
              </w:rPr>
              <w:t>52.274,26</w:t>
            </w:r>
          </w:p>
        </w:tc>
      </w:tr>
      <w:tr w:rsidR="00ED6365" w:rsidTr="00ED6365">
        <w:trPr>
          <w:trHeight w:val="70"/>
        </w:trPr>
        <w:tc>
          <w:tcPr>
            <w:tcW w:w="1130" w:type="dxa"/>
            <w:tcBorders>
              <w:top w:val="single" w:sz="4" w:space="0" w:color="auto"/>
              <w:left w:val="single" w:sz="4" w:space="0" w:color="auto"/>
              <w:bottom w:val="single" w:sz="4" w:space="0" w:color="auto"/>
              <w:right w:val="single" w:sz="4" w:space="0" w:color="auto"/>
            </w:tcBorders>
            <w:hideMark/>
          </w:tcPr>
          <w:p w:rsidR="00ED6365" w:rsidRDefault="00ED6365">
            <w:pPr>
              <w:jc w:val="center"/>
              <w:rPr>
                <w:sz w:val="22"/>
                <w:szCs w:val="22"/>
              </w:rPr>
            </w:pPr>
            <w:r>
              <w:rPr>
                <w:sz w:val="22"/>
                <w:szCs w:val="22"/>
              </w:rPr>
              <w:t>15.</w:t>
            </w:r>
          </w:p>
        </w:tc>
        <w:tc>
          <w:tcPr>
            <w:tcW w:w="6411" w:type="dxa"/>
            <w:tcBorders>
              <w:top w:val="single" w:sz="4" w:space="0" w:color="auto"/>
              <w:left w:val="single" w:sz="4" w:space="0" w:color="auto"/>
              <w:bottom w:val="single" w:sz="4" w:space="0" w:color="auto"/>
              <w:right w:val="single" w:sz="4" w:space="0" w:color="auto"/>
            </w:tcBorders>
            <w:hideMark/>
          </w:tcPr>
          <w:p w:rsidR="00ED6365" w:rsidRDefault="00ED6365">
            <w:pPr>
              <w:rPr>
                <w:sz w:val="22"/>
                <w:szCs w:val="22"/>
              </w:rPr>
            </w:pPr>
            <w:r>
              <w:rPr>
                <w:sz w:val="22"/>
                <w:szCs w:val="22"/>
              </w:rPr>
              <w:t>OBRT PROIZD, VELA LUKA</w:t>
            </w:r>
          </w:p>
        </w:tc>
        <w:tc>
          <w:tcPr>
            <w:tcW w:w="1747" w:type="dxa"/>
            <w:tcBorders>
              <w:top w:val="single" w:sz="4" w:space="0" w:color="auto"/>
              <w:left w:val="single" w:sz="4" w:space="0" w:color="auto"/>
              <w:bottom w:val="single" w:sz="4" w:space="0" w:color="auto"/>
              <w:right w:val="single" w:sz="4" w:space="0" w:color="auto"/>
            </w:tcBorders>
            <w:hideMark/>
          </w:tcPr>
          <w:p w:rsidR="00ED6365" w:rsidRDefault="00ED6365">
            <w:pPr>
              <w:jc w:val="right"/>
              <w:rPr>
                <w:sz w:val="22"/>
                <w:szCs w:val="22"/>
              </w:rPr>
            </w:pPr>
            <w:r>
              <w:rPr>
                <w:sz w:val="22"/>
                <w:szCs w:val="22"/>
              </w:rPr>
              <w:t>90,00</w:t>
            </w:r>
          </w:p>
        </w:tc>
      </w:tr>
      <w:tr w:rsidR="00ED6365" w:rsidTr="00ED6365">
        <w:trPr>
          <w:trHeight w:val="70"/>
        </w:trPr>
        <w:tc>
          <w:tcPr>
            <w:tcW w:w="1130" w:type="dxa"/>
            <w:tcBorders>
              <w:top w:val="single" w:sz="4" w:space="0" w:color="auto"/>
              <w:left w:val="single" w:sz="4" w:space="0" w:color="auto"/>
              <w:bottom w:val="single" w:sz="4" w:space="0" w:color="auto"/>
              <w:right w:val="single" w:sz="4" w:space="0" w:color="auto"/>
            </w:tcBorders>
            <w:hideMark/>
          </w:tcPr>
          <w:p w:rsidR="00ED6365" w:rsidRDefault="00ED6365">
            <w:pPr>
              <w:jc w:val="center"/>
              <w:rPr>
                <w:sz w:val="22"/>
                <w:szCs w:val="22"/>
              </w:rPr>
            </w:pPr>
            <w:r>
              <w:rPr>
                <w:sz w:val="22"/>
                <w:szCs w:val="22"/>
              </w:rPr>
              <w:t>16.</w:t>
            </w:r>
          </w:p>
        </w:tc>
        <w:tc>
          <w:tcPr>
            <w:tcW w:w="6411" w:type="dxa"/>
            <w:tcBorders>
              <w:top w:val="single" w:sz="4" w:space="0" w:color="auto"/>
              <w:left w:val="single" w:sz="4" w:space="0" w:color="auto"/>
              <w:bottom w:val="single" w:sz="4" w:space="0" w:color="auto"/>
              <w:right w:val="single" w:sz="4" w:space="0" w:color="auto"/>
            </w:tcBorders>
            <w:hideMark/>
          </w:tcPr>
          <w:p w:rsidR="00ED6365" w:rsidRDefault="00ED6365">
            <w:pPr>
              <w:rPr>
                <w:sz w:val="22"/>
                <w:szCs w:val="22"/>
              </w:rPr>
            </w:pPr>
            <w:r>
              <w:rPr>
                <w:sz w:val="22"/>
                <w:szCs w:val="22"/>
              </w:rPr>
              <w:t>VERBUM PUBLICUM D.O.O. MOKOŠICA</w:t>
            </w:r>
          </w:p>
        </w:tc>
        <w:tc>
          <w:tcPr>
            <w:tcW w:w="1747" w:type="dxa"/>
            <w:tcBorders>
              <w:top w:val="single" w:sz="4" w:space="0" w:color="auto"/>
              <w:left w:val="single" w:sz="4" w:space="0" w:color="auto"/>
              <w:bottom w:val="single" w:sz="4" w:space="0" w:color="auto"/>
              <w:right w:val="single" w:sz="4" w:space="0" w:color="auto"/>
            </w:tcBorders>
            <w:hideMark/>
          </w:tcPr>
          <w:p w:rsidR="00ED6365" w:rsidRDefault="00ED6365">
            <w:pPr>
              <w:jc w:val="right"/>
              <w:rPr>
                <w:sz w:val="22"/>
                <w:szCs w:val="22"/>
              </w:rPr>
            </w:pPr>
            <w:r>
              <w:rPr>
                <w:sz w:val="22"/>
                <w:szCs w:val="22"/>
              </w:rPr>
              <w:t>750,00</w:t>
            </w:r>
          </w:p>
        </w:tc>
      </w:tr>
      <w:tr w:rsidR="00ED6365" w:rsidTr="00ED6365">
        <w:trPr>
          <w:trHeight w:val="70"/>
        </w:trPr>
        <w:tc>
          <w:tcPr>
            <w:tcW w:w="1130" w:type="dxa"/>
            <w:tcBorders>
              <w:top w:val="single" w:sz="4" w:space="0" w:color="auto"/>
              <w:left w:val="single" w:sz="4" w:space="0" w:color="auto"/>
              <w:bottom w:val="single" w:sz="4" w:space="0" w:color="auto"/>
              <w:right w:val="single" w:sz="4" w:space="0" w:color="auto"/>
            </w:tcBorders>
            <w:hideMark/>
          </w:tcPr>
          <w:p w:rsidR="00ED6365" w:rsidRDefault="00ED6365">
            <w:pPr>
              <w:jc w:val="center"/>
              <w:rPr>
                <w:sz w:val="22"/>
                <w:szCs w:val="22"/>
              </w:rPr>
            </w:pPr>
            <w:r>
              <w:rPr>
                <w:sz w:val="22"/>
                <w:szCs w:val="22"/>
              </w:rPr>
              <w:t>17.</w:t>
            </w:r>
          </w:p>
        </w:tc>
        <w:tc>
          <w:tcPr>
            <w:tcW w:w="6411" w:type="dxa"/>
            <w:tcBorders>
              <w:top w:val="single" w:sz="4" w:space="0" w:color="auto"/>
              <w:left w:val="single" w:sz="4" w:space="0" w:color="auto"/>
              <w:bottom w:val="single" w:sz="4" w:space="0" w:color="auto"/>
              <w:right w:val="single" w:sz="4" w:space="0" w:color="auto"/>
            </w:tcBorders>
            <w:hideMark/>
          </w:tcPr>
          <w:p w:rsidR="00ED6365" w:rsidRDefault="00ED6365">
            <w:pPr>
              <w:rPr>
                <w:sz w:val="22"/>
                <w:szCs w:val="22"/>
              </w:rPr>
            </w:pPr>
            <w:r>
              <w:rPr>
                <w:sz w:val="22"/>
                <w:szCs w:val="22"/>
              </w:rPr>
              <w:t>FOND ZA ZAŠTITU OKOLIŠA I EN. UČINK., ZG</w:t>
            </w:r>
          </w:p>
        </w:tc>
        <w:tc>
          <w:tcPr>
            <w:tcW w:w="1747" w:type="dxa"/>
            <w:tcBorders>
              <w:top w:val="single" w:sz="4" w:space="0" w:color="auto"/>
              <w:left w:val="single" w:sz="4" w:space="0" w:color="auto"/>
              <w:bottom w:val="single" w:sz="4" w:space="0" w:color="auto"/>
              <w:right w:val="single" w:sz="4" w:space="0" w:color="auto"/>
            </w:tcBorders>
            <w:hideMark/>
          </w:tcPr>
          <w:p w:rsidR="00ED6365" w:rsidRDefault="00ED6365">
            <w:pPr>
              <w:jc w:val="right"/>
              <w:rPr>
                <w:sz w:val="22"/>
                <w:szCs w:val="22"/>
              </w:rPr>
            </w:pPr>
            <w:r>
              <w:rPr>
                <w:sz w:val="22"/>
                <w:szCs w:val="22"/>
              </w:rPr>
              <w:t>14.167,05</w:t>
            </w:r>
          </w:p>
        </w:tc>
      </w:tr>
      <w:tr w:rsidR="00ED6365" w:rsidTr="00ED6365">
        <w:tc>
          <w:tcPr>
            <w:tcW w:w="1130" w:type="dxa"/>
            <w:tcBorders>
              <w:top w:val="single" w:sz="4" w:space="0" w:color="auto"/>
              <w:left w:val="single" w:sz="4" w:space="0" w:color="auto"/>
              <w:bottom w:val="single" w:sz="4" w:space="0" w:color="auto"/>
              <w:right w:val="single" w:sz="4" w:space="0" w:color="auto"/>
            </w:tcBorders>
          </w:tcPr>
          <w:p w:rsidR="00ED6365" w:rsidRDefault="00ED6365">
            <w:pPr>
              <w:jc w:val="center"/>
              <w:rPr>
                <w:b/>
                <w:sz w:val="22"/>
                <w:szCs w:val="22"/>
              </w:rPr>
            </w:pPr>
          </w:p>
        </w:tc>
        <w:tc>
          <w:tcPr>
            <w:tcW w:w="6411" w:type="dxa"/>
            <w:tcBorders>
              <w:top w:val="single" w:sz="4" w:space="0" w:color="auto"/>
              <w:left w:val="single" w:sz="4" w:space="0" w:color="auto"/>
              <w:bottom w:val="single" w:sz="4" w:space="0" w:color="auto"/>
              <w:right w:val="single" w:sz="4" w:space="0" w:color="auto"/>
            </w:tcBorders>
            <w:hideMark/>
          </w:tcPr>
          <w:p w:rsidR="00ED6365" w:rsidRDefault="00ED6365" w:rsidP="00D231FA">
            <w:pPr>
              <w:jc w:val="right"/>
              <w:rPr>
                <w:b/>
                <w:sz w:val="22"/>
                <w:szCs w:val="22"/>
              </w:rPr>
            </w:pPr>
            <w:r>
              <w:rPr>
                <w:b/>
                <w:sz w:val="22"/>
                <w:szCs w:val="22"/>
              </w:rPr>
              <w:t>UKUPNO</w:t>
            </w:r>
          </w:p>
        </w:tc>
        <w:tc>
          <w:tcPr>
            <w:tcW w:w="1747" w:type="dxa"/>
            <w:tcBorders>
              <w:top w:val="single" w:sz="4" w:space="0" w:color="auto"/>
              <w:left w:val="single" w:sz="4" w:space="0" w:color="auto"/>
              <w:bottom w:val="single" w:sz="4" w:space="0" w:color="auto"/>
              <w:right w:val="single" w:sz="4" w:space="0" w:color="auto"/>
            </w:tcBorders>
            <w:hideMark/>
          </w:tcPr>
          <w:p w:rsidR="00ED6365" w:rsidRDefault="00ED6365">
            <w:pPr>
              <w:jc w:val="right"/>
              <w:rPr>
                <w:b/>
                <w:sz w:val="22"/>
                <w:szCs w:val="22"/>
              </w:rPr>
            </w:pPr>
            <w:r>
              <w:rPr>
                <w:b/>
                <w:sz w:val="22"/>
                <w:szCs w:val="22"/>
              </w:rPr>
              <w:fldChar w:fldCharType="begin"/>
            </w:r>
            <w:r>
              <w:rPr>
                <w:b/>
                <w:sz w:val="22"/>
                <w:szCs w:val="22"/>
              </w:rPr>
              <w:instrText xml:space="preserve"> =SUM(ABOVE) </w:instrText>
            </w:r>
            <w:r>
              <w:rPr>
                <w:b/>
                <w:sz w:val="22"/>
                <w:szCs w:val="22"/>
              </w:rPr>
              <w:fldChar w:fldCharType="separate"/>
            </w:r>
            <w:r>
              <w:rPr>
                <w:b/>
                <w:noProof/>
                <w:sz w:val="22"/>
                <w:szCs w:val="22"/>
              </w:rPr>
              <w:t>165.199,41</w:t>
            </w:r>
            <w:r>
              <w:rPr>
                <w:b/>
                <w:sz w:val="22"/>
                <w:szCs w:val="22"/>
              </w:rPr>
              <w:fldChar w:fldCharType="end"/>
            </w:r>
          </w:p>
        </w:tc>
      </w:tr>
    </w:tbl>
    <w:p w:rsidR="00ED6365" w:rsidRDefault="00ED6365" w:rsidP="00ED6365">
      <w:pPr>
        <w:rPr>
          <w:b/>
          <w:u w:val="single"/>
        </w:rPr>
      </w:pPr>
    </w:p>
    <w:p w:rsidR="00ED6365" w:rsidRDefault="00ED6365" w:rsidP="00ED6365">
      <w:r>
        <w:rPr>
          <w:b/>
        </w:rPr>
        <w:t xml:space="preserve">b) </w:t>
      </w:r>
      <w:r w:rsidRPr="00AC63D4">
        <w:rPr>
          <w:b/>
        </w:rPr>
        <w:t>DV Radost</w:t>
      </w:r>
      <w:r w:rsidRPr="00AC63D4">
        <w:t xml:space="preserve"> – na dan 31.12.2</w:t>
      </w:r>
      <w:r w:rsidR="00A83FCB">
        <w:t>5.</w:t>
      </w:r>
      <w:r w:rsidRPr="00AC63D4">
        <w:t xml:space="preserve"> ima neizmirene</w:t>
      </w:r>
      <w:r>
        <w:t xml:space="preserve"> obveze u ukupnom iznosu od </w:t>
      </w:r>
      <w:r w:rsidR="00A83FCB">
        <w:t>1.132,5</w:t>
      </w:r>
      <w:r w:rsidR="00D231FA">
        <w:t>4</w:t>
      </w:r>
      <w:r>
        <w:t xml:space="preserve"> eura</w:t>
      </w:r>
      <w:r w:rsidR="00D231FA">
        <w:t xml:space="preserve"> - sve dospjelo.</w:t>
      </w:r>
      <w:r>
        <w:t xml:space="preserve"> </w:t>
      </w:r>
    </w:p>
    <w:p w:rsidR="00ED6365" w:rsidRDefault="00ED6365" w:rsidP="00ED6365"/>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1984"/>
      </w:tblGrid>
      <w:tr w:rsidR="00A83FCB" w:rsidRPr="0033115C" w:rsidTr="00D231FA">
        <w:trPr>
          <w:trHeight w:val="289"/>
        </w:trPr>
        <w:tc>
          <w:tcPr>
            <w:tcW w:w="3006" w:type="dxa"/>
            <w:tcBorders>
              <w:top w:val="single" w:sz="4" w:space="0" w:color="auto"/>
              <w:left w:val="single" w:sz="4" w:space="0" w:color="auto"/>
              <w:bottom w:val="single" w:sz="4" w:space="0" w:color="auto"/>
              <w:right w:val="single" w:sz="4" w:space="0" w:color="auto"/>
            </w:tcBorders>
          </w:tcPr>
          <w:p w:rsidR="00A83FCB" w:rsidRPr="0033115C" w:rsidRDefault="00A83FCB" w:rsidP="007C137F">
            <w:pPr>
              <w:rPr>
                <w:sz w:val="22"/>
                <w:szCs w:val="22"/>
              </w:rPr>
            </w:pPr>
            <w:r w:rsidRPr="0033115C">
              <w:rPr>
                <w:sz w:val="22"/>
                <w:szCs w:val="22"/>
              </w:rPr>
              <w:t>DOBAVLJAČ</w:t>
            </w:r>
          </w:p>
          <w:p w:rsidR="00A83FCB" w:rsidRPr="0033115C" w:rsidRDefault="00A83FCB" w:rsidP="007C137F">
            <w:pPr>
              <w:rPr>
                <w:sz w:val="22"/>
                <w:szCs w:val="22"/>
              </w:rPr>
            </w:pPr>
          </w:p>
        </w:tc>
        <w:tc>
          <w:tcPr>
            <w:tcW w:w="1984" w:type="dxa"/>
            <w:tcBorders>
              <w:top w:val="single" w:sz="4" w:space="0" w:color="auto"/>
              <w:left w:val="single" w:sz="4" w:space="0" w:color="auto"/>
              <w:bottom w:val="single" w:sz="4" w:space="0" w:color="auto"/>
              <w:right w:val="single" w:sz="4" w:space="0" w:color="auto"/>
            </w:tcBorders>
            <w:hideMark/>
          </w:tcPr>
          <w:p w:rsidR="00A83FCB" w:rsidRPr="0033115C" w:rsidRDefault="00D231FA" w:rsidP="007C137F">
            <w:pPr>
              <w:jc w:val="right"/>
              <w:rPr>
                <w:sz w:val="22"/>
                <w:szCs w:val="22"/>
              </w:rPr>
            </w:pPr>
            <w:r>
              <w:rPr>
                <w:sz w:val="22"/>
                <w:szCs w:val="22"/>
              </w:rPr>
              <w:t>Ukupno dugovanje</w:t>
            </w:r>
          </w:p>
        </w:tc>
      </w:tr>
      <w:tr w:rsidR="00A83FCB" w:rsidRPr="0033115C" w:rsidTr="00D231FA">
        <w:tc>
          <w:tcPr>
            <w:tcW w:w="3006" w:type="dxa"/>
            <w:tcBorders>
              <w:top w:val="single" w:sz="4" w:space="0" w:color="auto"/>
              <w:left w:val="single" w:sz="4" w:space="0" w:color="auto"/>
              <w:bottom w:val="single" w:sz="4" w:space="0" w:color="auto"/>
              <w:right w:val="single" w:sz="4" w:space="0" w:color="auto"/>
            </w:tcBorders>
            <w:hideMark/>
          </w:tcPr>
          <w:p w:rsidR="00A83FCB" w:rsidRPr="0033115C" w:rsidRDefault="00D231FA" w:rsidP="007C137F">
            <w:pPr>
              <w:rPr>
                <w:sz w:val="22"/>
                <w:szCs w:val="22"/>
              </w:rPr>
            </w:pPr>
            <w:r>
              <w:rPr>
                <w:sz w:val="22"/>
                <w:szCs w:val="22"/>
              </w:rPr>
              <w:t>Komunalne djelatnosti d.o.o.</w:t>
            </w:r>
          </w:p>
        </w:tc>
        <w:tc>
          <w:tcPr>
            <w:tcW w:w="1984" w:type="dxa"/>
            <w:tcBorders>
              <w:top w:val="single" w:sz="4" w:space="0" w:color="auto"/>
              <w:left w:val="single" w:sz="4" w:space="0" w:color="auto"/>
              <w:bottom w:val="single" w:sz="4" w:space="0" w:color="auto"/>
              <w:right w:val="single" w:sz="4" w:space="0" w:color="auto"/>
            </w:tcBorders>
            <w:hideMark/>
          </w:tcPr>
          <w:p w:rsidR="00A83FCB" w:rsidRPr="0033115C" w:rsidRDefault="00D231FA" w:rsidP="007C137F">
            <w:pPr>
              <w:jc w:val="right"/>
              <w:rPr>
                <w:sz w:val="22"/>
                <w:szCs w:val="22"/>
              </w:rPr>
            </w:pPr>
            <w:r>
              <w:rPr>
                <w:sz w:val="22"/>
                <w:szCs w:val="22"/>
              </w:rPr>
              <w:t>124,48</w:t>
            </w:r>
          </w:p>
        </w:tc>
      </w:tr>
      <w:tr w:rsidR="00A83FCB" w:rsidRPr="0033115C" w:rsidTr="00D231FA">
        <w:tc>
          <w:tcPr>
            <w:tcW w:w="3006" w:type="dxa"/>
            <w:tcBorders>
              <w:top w:val="single" w:sz="4" w:space="0" w:color="auto"/>
              <w:left w:val="single" w:sz="4" w:space="0" w:color="auto"/>
              <w:bottom w:val="single" w:sz="4" w:space="0" w:color="auto"/>
              <w:right w:val="single" w:sz="4" w:space="0" w:color="auto"/>
            </w:tcBorders>
            <w:hideMark/>
          </w:tcPr>
          <w:p w:rsidR="00A83FCB" w:rsidRPr="0033115C" w:rsidRDefault="00A83FCB" w:rsidP="007C137F">
            <w:pPr>
              <w:rPr>
                <w:sz w:val="22"/>
                <w:szCs w:val="22"/>
              </w:rPr>
            </w:pPr>
            <w:r>
              <w:rPr>
                <w:sz w:val="22"/>
                <w:szCs w:val="22"/>
              </w:rPr>
              <w:t>Škanjata d.o.o.</w:t>
            </w:r>
          </w:p>
        </w:tc>
        <w:tc>
          <w:tcPr>
            <w:tcW w:w="1984" w:type="dxa"/>
            <w:tcBorders>
              <w:top w:val="single" w:sz="4" w:space="0" w:color="auto"/>
              <w:left w:val="single" w:sz="4" w:space="0" w:color="auto"/>
              <w:bottom w:val="single" w:sz="4" w:space="0" w:color="auto"/>
              <w:right w:val="single" w:sz="4" w:space="0" w:color="auto"/>
            </w:tcBorders>
            <w:hideMark/>
          </w:tcPr>
          <w:p w:rsidR="00A83FCB" w:rsidRPr="0033115C" w:rsidRDefault="00D231FA" w:rsidP="007C137F">
            <w:pPr>
              <w:jc w:val="right"/>
              <w:rPr>
                <w:sz w:val="22"/>
                <w:szCs w:val="22"/>
              </w:rPr>
            </w:pPr>
            <w:r>
              <w:rPr>
                <w:sz w:val="22"/>
                <w:szCs w:val="22"/>
              </w:rPr>
              <w:t>988,06</w:t>
            </w:r>
          </w:p>
        </w:tc>
      </w:tr>
      <w:tr w:rsidR="00D231FA" w:rsidRPr="0033115C" w:rsidTr="00D231FA">
        <w:tc>
          <w:tcPr>
            <w:tcW w:w="3006" w:type="dxa"/>
            <w:tcBorders>
              <w:top w:val="single" w:sz="4" w:space="0" w:color="auto"/>
              <w:left w:val="single" w:sz="4" w:space="0" w:color="auto"/>
              <w:bottom w:val="single" w:sz="4" w:space="0" w:color="auto"/>
              <w:right w:val="single" w:sz="4" w:space="0" w:color="auto"/>
            </w:tcBorders>
          </w:tcPr>
          <w:p w:rsidR="00D231FA" w:rsidRDefault="00D231FA" w:rsidP="007C137F">
            <w:pPr>
              <w:rPr>
                <w:sz w:val="22"/>
                <w:szCs w:val="22"/>
              </w:rPr>
            </w:pPr>
            <w:r>
              <w:rPr>
                <w:sz w:val="22"/>
                <w:szCs w:val="22"/>
              </w:rPr>
              <w:t>Vela Luka trgovina d.d.</w:t>
            </w:r>
          </w:p>
        </w:tc>
        <w:tc>
          <w:tcPr>
            <w:tcW w:w="1984" w:type="dxa"/>
            <w:tcBorders>
              <w:top w:val="single" w:sz="4" w:space="0" w:color="auto"/>
              <w:left w:val="single" w:sz="4" w:space="0" w:color="auto"/>
              <w:bottom w:val="single" w:sz="4" w:space="0" w:color="auto"/>
              <w:right w:val="single" w:sz="4" w:space="0" w:color="auto"/>
            </w:tcBorders>
          </w:tcPr>
          <w:p w:rsidR="00D231FA" w:rsidRDefault="00D231FA" w:rsidP="007C137F">
            <w:pPr>
              <w:jc w:val="right"/>
              <w:rPr>
                <w:sz w:val="22"/>
                <w:szCs w:val="22"/>
              </w:rPr>
            </w:pPr>
            <w:r>
              <w:rPr>
                <w:sz w:val="22"/>
                <w:szCs w:val="22"/>
              </w:rPr>
              <w:t>20,00</w:t>
            </w:r>
          </w:p>
        </w:tc>
      </w:tr>
      <w:tr w:rsidR="00D231FA" w:rsidRPr="00D231FA" w:rsidTr="00D231FA">
        <w:tc>
          <w:tcPr>
            <w:tcW w:w="3006" w:type="dxa"/>
            <w:tcBorders>
              <w:top w:val="single" w:sz="4" w:space="0" w:color="auto"/>
              <w:left w:val="single" w:sz="4" w:space="0" w:color="auto"/>
              <w:bottom w:val="single" w:sz="4" w:space="0" w:color="auto"/>
              <w:right w:val="single" w:sz="4" w:space="0" w:color="auto"/>
            </w:tcBorders>
          </w:tcPr>
          <w:p w:rsidR="00D231FA" w:rsidRPr="00D231FA" w:rsidRDefault="00D231FA" w:rsidP="00D231FA">
            <w:pPr>
              <w:jc w:val="right"/>
              <w:rPr>
                <w:b/>
                <w:sz w:val="22"/>
                <w:szCs w:val="22"/>
              </w:rPr>
            </w:pPr>
            <w:r w:rsidRPr="00D231FA">
              <w:rPr>
                <w:b/>
                <w:sz w:val="22"/>
                <w:szCs w:val="22"/>
              </w:rPr>
              <w:t>UKUPNO</w:t>
            </w:r>
          </w:p>
        </w:tc>
        <w:tc>
          <w:tcPr>
            <w:tcW w:w="1984" w:type="dxa"/>
            <w:tcBorders>
              <w:top w:val="single" w:sz="4" w:space="0" w:color="auto"/>
              <w:left w:val="single" w:sz="4" w:space="0" w:color="auto"/>
              <w:bottom w:val="single" w:sz="4" w:space="0" w:color="auto"/>
              <w:right w:val="single" w:sz="4" w:space="0" w:color="auto"/>
            </w:tcBorders>
          </w:tcPr>
          <w:p w:rsidR="00D231FA" w:rsidRPr="00D231FA" w:rsidRDefault="00D231FA" w:rsidP="007C137F">
            <w:pPr>
              <w:jc w:val="right"/>
              <w:rPr>
                <w:b/>
                <w:sz w:val="22"/>
                <w:szCs w:val="22"/>
              </w:rPr>
            </w:pPr>
            <w:r w:rsidRPr="00D231FA">
              <w:rPr>
                <w:b/>
                <w:sz w:val="22"/>
                <w:szCs w:val="22"/>
              </w:rPr>
              <w:fldChar w:fldCharType="begin"/>
            </w:r>
            <w:r w:rsidRPr="00D231FA">
              <w:rPr>
                <w:b/>
                <w:sz w:val="22"/>
                <w:szCs w:val="22"/>
              </w:rPr>
              <w:instrText xml:space="preserve"> =SUM(ABOVE) </w:instrText>
            </w:r>
            <w:r w:rsidRPr="00D231FA">
              <w:rPr>
                <w:b/>
                <w:sz w:val="22"/>
                <w:szCs w:val="22"/>
              </w:rPr>
              <w:fldChar w:fldCharType="separate"/>
            </w:r>
            <w:r w:rsidRPr="00D231FA">
              <w:rPr>
                <w:b/>
                <w:noProof/>
                <w:sz w:val="22"/>
                <w:szCs w:val="22"/>
              </w:rPr>
              <w:t>1.132,54</w:t>
            </w:r>
            <w:r w:rsidRPr="00D231FA">
              <w:rPr>
                <w:b/>
                <w:sz w:val="22"/>
                <w:szCs w:val="22"/>
              </w:rPr>
              <w:fldChar w:fldCharType="end"/>
            </w:r>
          </w:p>
        </w:tc>
      </w:tr>
    </w:tbl>
    <w:p w:rsidR="00ED6365" w:rsidRDefault="00ED6365" w:rsidP="00ED6365"/>
    <w:p w:rsidR="00062C4D" w:rsidRDefault="00ED6365" w:rsidP="00062C4D">
      <w:r>
        <w:rPr>
          <w:b/>
        </w:rPr>
        <w:t xml:space="preserve">c) </w:t>
      </w:r>
      <w:r w:rsidRPr="00AC63D4">
        <w:rPr>
          <w:b/>
        </w:rPr>
        <w:t xml:space="preserve">CZK - </w:t>
      </w:r>
      <w:r w:rsidRPr="00AC63D4">
        <w:t>na dan 31.12.2</w:t>
      </w:r>
      <w:r>
        <w:t>5</w:t>
      </w:r>
      <w:r w:rsidRPr="00AC63D4">
        <w:t>. ima neizmirene</w:t>
      </w:r>
      <w:r>
        <w:t xml:space="preserve"> obveze u ukupnom iznosu od </w:t>
      </w:r>
      <w:r w:rsidR="0046128E">
        <w:t>9.064,16</w:t>
      </w:r>
      <w:r>
        <w:t xml:space="preserve"> eura</w:t>
      </w:r>
      <w:r w:rsidR="00D231FA">
        <w:t>. S</w:t>
      </w:r>
      <w:r w:rsidR="00062C4D">
        <w:t xml:space="preserve">tanje dospjelih obveza na kraju izvještajnog razdoblja iznosi 8.126,66 eura. Obveze se odnose na dobavljače: Financijska agencija u iznosu od 1,66 eura, Laknar projekt d.o.o. u iznosu od 1.875,00 eura te Tim bolje d.o.o. u iznosu od 6.250,00 eura. </w:t>
      </w:r>
      <w:r w:rsidR="00D231FA">
        <w:t>Nedospjela je obveza prema Laknar d.o.o. u iznosu od 937,50 eura.</w:t>
      </w:r>
    </w:p>
    <w:p w:rsidR="00ED6365" w:rsidRDefault="00ED6365" w:rsidP="00ED6365"/>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2620"/>
      </w:tblGrid>
      <w:tr w:rsidR="00D231FA" w:rsidRPr="0033115C" w:rsidTr="00D231FA">
        <w:trPr>
          <w:trHeight w:val="467"/>
        </w:trPr>
        <w:tc>
          <w:tcPr>
            <w:tcW w:w="2199" w:type="dxa"/>
            <w:tcBorders>
              <w:top w:val="single" w:sz="4" w:space="0" w:color="auto"/>
              <w:left w:val="single" w:sz="4" w:space="0" w:color="auto"/>
              <w:bottom w:val="single" w:sz="4" w:space="0" w:color="auto"/>
              <w:right w:val="single" w:sz="4" w:space="0" w:color="auto"/>
            </w:tcBorders>
          </w:tcPr>
          <w:p w:rsidR="00D231FA" w:rsidRPr="0033115C" w:rsidRDefault="00D231FA" w:rsidP="00D231FA">
            <w:pPr>
              <w:spacing w:line="256" w:lineRule="auto"/>
              <w:rPr>
                <w:sz w:val="22"/>
                <w:szCs w:val="22"/>
                <w:lang w:eastAsia="en-US"/>
              </w:rPr>
            </w:pPr>
            <w:r w:rsidRPr="0033115C">
              <w:rPr>
                <w:sz w:val="22"/>
                <w:szCs w:val="22"/>
                <w:lang w:eastAsia="en-US"/>
              </w:rPr>
              <w:t>DOBAVLJAČ</w:t>
            </w:r>
          </w:p>
          <w:p w:rsidR="00D231FA" w:rsidRPr="0033115C" w:rsidRDefault="00D231FA" w:rsidP="00D231FA">
            <w:pPr>
              <w:spacing w:line="256" w:lineRule="auto"/>
              <w:rPr>
                <w:sz w:val="22"/>
                <w:szCs w:val="22"/>
                <w:lang w:eastAsia="en-US"/>
              </w:rPr>
            </w:pPr>
          </w:p>
        </w:tc>
        <w:tc>
          <w:tcPr>
            <w:tcW w:w="2620" w:type="dxa"/>
            <w:tcBorders>
              <w:top w:val="single" w:sz="4" w:space="0" w:color="auto"/>
              <w:left w:val="single" w:sz="4" w:space="0" w:color="auto"/>
              <w:bottom w:val="single" w:sz="4" w:space="0" w:color="auto"/>
              <w:right w:val="single" w:sz="4" w:space="0" w:color="auto"/>
            </w:tcBorders>
          </w:tcPr>
          <w:p w:rsidR="00D231FA" w:rsidRPr="0033115C" w:rsidRDefault="00D231FA" w:rsidP="00D231FA">
            <w:pPr>
              <w:jc w:val="right"/>
              <w:rPr>
                <w:sz w:val="22"/>
                <w:szCs w:val="22"/>
              </w:rPr>
            </w:pPr>
            <w:r>
              <w:rPr>
                <w:sz w:val="22"/>
                <w:szCs w:val="22"/>
              </w:rPr>
              <w:t>Ukupno dugovanje</w:t>
            </w:r>
          </w:p>
        </w:tc>
      </w:tr>
      <w:tr w:rsidR="00D231FA" w:rsidRPr="0033115C" w:rsidTr="00D231FA">
        <w:tc>
          <w:tcPr>
            <w:tcW w:w="2199" w:type="dxa"/>
            <w:tcBorders>
              <w:top w:val="single" w:sz="4" w:space="0" w:color="auto"/>
              <w:left w:val="single" w:sz="4" w:space="0" w:color="auto"/>
              <w:bottom w:val="single" w:sz="4" w:space="0" w:color="auto"/>
              <w:right w:val="single" w:sz="4" w:space="0" w:color="auto"/>
            </w:tcBorders>
            <w:hideMark/>
          </w:tcPr>
          <w:p w:rsidR="00D231FA" w:rsidRPr="0033115C" w:rsidRDefault="00D231FA" w:rsidP="00D231FA">
            <w:pPr>
              <w:spacing w:line="256" w:lineRule="auto"/>
              <w:rPr>
                <w:sz w:val="22"/>
                <w:szCs w:val="22"/>
                <w:lang w:eastAsia="en-US"/>
              </w:rPr>
            </w:pPr>
            <w:r>
              <w:rPr>
                <w:sz w:val="22"/>
                <w:szCs w:val="22"/>
                <w:lang w:eastAsia="en-US"/>
              </w:rPr>
              <w:t>Laknar projekt d.o.o.</w:t>
            </w:r>
          </w:p>
        </w:tc>
        <w:tc>
          <w:tcPr>
            <w:tcW w:w="2620" w:type="dxa"/>
            <w:tcBorders>
              <w:top w:val="single" w:sz="4" w:space="0" w:color="auto"/>
              <w:left w:val="single" w:sz="4" w:space="0" w:color="auto"/>
              <w:bottom w:val="single" w:sz="4" w:space="0" w:color="auto"/>
              <w:right w:val="single" w:sz="4" w:space="0" w:color="auto"/>
            </w:tcBorders>
            <w:hideMark/>
          </w:tcPr>
          <w:p w:rsidR="00D231FA" w:rsidRPr="0033115C" w:rsidRDefault="00D231FA" w:rsidP="00D231FA">
            <w:pPr>
              <w:spacing w:line="256" w:lineRule="auto"/>
              <w:jc w:val="right"/>
              <w:rPr>
                <w:sz w:val="22"/>
                <w:szCs w:val="22"/>
                <w:lang w:eastAsia="en-US"/>
              </w:rPr>
            </w:pPr>
            <w:r>
              <w:rPr>
                <w:sz w:val="22"/>
                <w:szCs w:val="22"/>
                <w:lang w:eastAsia="en-US"/>
              </w:rPr>
              <w:t>2.812,50</w:t>
            </w:r>
          </w:p>
        </w:tc>
      </w:tr>
      <w:tr w:rsidR="00D231FA" w:rsidRPr="0033115C" w:rsidTr="00D231FA">
        <w:tc>
          <w:tcPr>
            <w:tcW w:w="2199" w:type="dxa"/>
            <w:tcBorders>
              <w:top w:val="single" w:sz="4" w:space="0" w:color="auto"/>
              <w:left w:val="single" w:sz="4" w:space="0" w:color="auto"/>
              <w:bottom w:val="single" w:sz="4" w:space="0" w:color="auto"/>
              <w:right w:val="single" w:sz="4" w:space="0" w:color="auto"/>
            </w:tcBorders>
            <w:hideMark/>
          </w:tcPr>
          <w:p w:rsidR="00D231FA" w:rsidRPr="0033115C" w:rsidRDefault="00D231FA" w:rsidP="00D231FA">
            <w:pPr>
              <w:spacing w:line="256" w:lineRule="auto"/>
              <w:rPr>
                <w:sz w:val="22"/>
                <w:szCs w:val="22"/>
                <w:lang w:eastAsia="en-US"/>
              </w:rPr>
            </w:pPr>
            <w:r>
              <w:rPr>
                <w:sz w:val="22"/>
                <w:szCs w:val="22"/>
                <w:lang w:eastAsia="en-US"/>
              </w:rPr>
              <w:t>FINA</w:t>
            </w:r>
          </w:p>
        </w:tc>
        <w:tc>
          <w:tcPr>
            <w:tcW w:w="2620" w:type="dxa"/>
            <w:tcBorders>
              <w:top w:val="single" w:sz="4" w:space="0" w:color="auto"/>
              <w:left w:val="single" w:sz="4" w:space="0" w:color="auto"/>
              <w:bottom w:val="single" w:sz="4" w:space="0" w:color="auto"/>
              <w:right w:val="single" w:sz="4" w:space="0" w:color="auto"/>
            </w:tcBorders>
            <w:hideMark/>
          </w:tcPr>
          <w:p w:rsidR="00D231FA" w:rsidRPr="0033115C" w:rsidRDefault="00D231FA" w:rsidP="00D231FA">
            <w:pPr>
              <w:spacing w:line="256" w:lineRule="auto"/>
              <w:jc w:val="right"/>
              <w:rPr>
                <w:sz w:val="22"/>
                <w:szCs w:val="22"/>
                <w:lang w:eastAsia="en-US"/>
              </w:rPr>
            </w:pPr>
            <w:r>
              <w:rPr>
                <w:sz w:val="22"/>
                <w:szCs w:val="22"/>
                <w:lang w:eastAsia="en-US"/>
              </w:rPr>
              <w:t>1,66</w:t>
            </w:r>
          </w:p>
        </w:tc>
      </w:tr>
      <w:tr w:rsidR="00D231FA" w:rsidRPr="0033115C" w:rsidTr="007C137F">
        <w:tc>
          <w:tcPr>
            <w:tcW w:w="2199" w:type="dxa"/>
            <w:tcBorders>
              <w:top w:val="single" w:sz="4" w:space="0" w:color="auto"/>
              <w:left w:val="single" w:sz="4" w:space="0" w:color="auto"/>
              <w:bottom w:val="single" w:sz="4" w:space="0" w:color="auto"/>
              <w:right w:val="single" w:sz="4" w:space="0" w:color="auto"/>
            </w:tcBorders>
          </w:tcPr>
          <w:p w:rsidR="00D231FA" w:rsidRDefault="00D231FA" w:rsidP="00D231FA">
            <w:pPr>
              <w:spacing w:line="256" w:lineRule="auto"/>
              <w:rPr>
                <w:sz w:val="22"/>
                <w:szCs w:val="22"/>
                <w:lang w:eastAsia="en-US"/>
              </w:rPr>
            </w:pPr>
            <w:r>
              <w:rPr>
                <w:sz w:val="22"/>
                <w:szCs w:val="22"/>
                <w:lang w:eastAsia="en-US"/>
              </w:rPr>
              <w:t>TIM BOLJE d.o.o.</w:t>
            </w:r>
          </w:p>
        </w:tc>
        <w:tc>
          <w:tcPr>
            <w:tcW w:w="2620" w:type="dxa"/>
            <w:tcBorders>
              <w:top w:val="single" w:sz="4" w:space="0" w:color="auto"/>
              <w:left w:val="single" w:sz="4" w:space="0" w:color="auto"/>
              <w:bottom w:val="single" w:sz="4" w:space="0" w:color="auto"/>
              <w:right w:val="single" w:sz="4" w:space="0" w:color="auto"/>
            </w:tcBorders>
          </w:tcPr>
          <w:p w:rsidR="00D231FA" w:rsidRDefault="00D231FA" w:rsidP="00D231FA">
            <w:pPr>
              <w:spacing w:line="256" w:lineRule="auto"/>
              <w:jc w:val="right"/>
              <w:rPr>
                <w:sz w:val="22"/>
                <w:szCs w:val="22"/>
                <w:lang w:eastAsia="en-US"/>
              </w:rPr>
            </w:pPr>
            <w:r>
              <w:rPr>
                <w:sz w:val="22"/>
                <w:szCs w:val="22"/>
                <w:lang w:eastAsia="en-US"/>
              </w:rPr>
              <w:t xml:space="preserve">6.250,00 </w:t>
            </w:r>
          </w:p>
        </w:tc>
      </w:tr>
      <w:tr w:rsidR="00D231FA" w:rsidRPr="00D231FA" w:rsidTr="007C137F">
        <w:tc>
          <w:tcPr>
            <w:tcW w:w="2199" w:type="dxa"/>
            <w:tcBorders>
              <w:top w:val="single" w:sz="4" w:space="0" w:color="auto"/>
              <w:left w:val="single" w:sz="4" w:space="0" w:color="auto"/>
              <w:bottom w:val="single" w:sz="4" w:space="0" w:color="auto"/>
              <w:right w:val="single" w:sz="4" w:space="0" w:color="auto"/>
            </w:tcBorders>
          </w:tcPr>
          <w:p w:rsidR="00D231FA" w:rsidRPr="00D231FA" w:rsidRDefault="00D231FA" w:rsidP="00D231FA">
            <w:pPr>
              <w:spacing w:line="256" w:lineRule="auto"/>
              <w:jc w:val="right"/>
              <w:rPr>
                <w:b/>
                <w:sz w:val="22"/>
                <w:szCs w:val="22"/>
                <w:lang w:eastAsia="en-US"/>
              </w:rPr>
            </w:pPr>
            <w:r w:rsidRPr="00D231FA">
              <w:rPr>
                <w:b/>
                <w:sz w:val="22"/>
                <w:szCs w:val="22"/>
                <w:lang w:eastAsia="en-US"/>
              </w:rPr>
              <w:t>UKUPNO</w:t>
            </w:r>
          </w:p>
        </w:tc>
        <w:tc>
          <w:tcPr>
            <w:tcW w:w="2620" w:type="dxa"/>
            <w:tcBorders>
              <w:top w:val="single" w:sz="4" w:space="0" w:color="auto"/>
              <w:left w:val="single" w:sz="4" w:space="0" w:color="auto"/>
              <w:bottom w:val="single" w:sz="4" w:space="0" w:color="auto"/>
              <w:right w:val="single" w:sz="4" w:space="0" w:color="auto"/>
            </w:tcBorders>
          </w:tcPr>
          <w:p w:rsidR="00D231FA" w:rsidRPr="00D231FA" w:rsidRDefault="00D231FA" w:rsidP="00D231FA">
            <w:pPr>
              <w:spacing w:line="256" w:lineRule="auto"/>
              <w:jc w:val="right"/>
              <w:rPr>
                <w:b/>
                <w:sz w:val="22"/>
                <w:szCs w:val="22"/>
                <w:lang w:eastAsia="en-US"/>
              </w:rPr>
            </w:pPr>
            <w:r w:rsidRPr="00D231FA">
              <w:rPr>
                <w:b/>
                <w:sz w:val="22"/>
                <w:szCs w:val="22"/>
                <w:lang w:eastAsia="en-US"/>
              </w:rPr>
              <w:fldChar w:fldCharType="begin"/>
            </w:r>
            <w:r w:rsidRPr="00D231FA">
              <w:rPr>
                <w:b/>
                <w:sz w:val="22"/>
                <w:szCs w:val="22"/>
                <w:lang w:eastAsia="en-US"/>
              </w:rPr>
              <w:instrText xml:space="preserve"> =SUM(ABOVE) </w:instrText>
            </w:r>
            <w:r w:rsidRPr="00D231FA">
              <w:rPr>
                <w:b/>
                <w:sz w:val="22"/>
                <w:szCs w:val="22"/>
                <w:lang w:eastAsia="en-US"/>
              </w:rPr>
              <w:fldChar w:fldCharType="separate"/>
            </w:r>
            <w:r w:rsidRPr="00D231FA">
              <w:rPr>
                <w:b/>
                <w:noProof/>
                <w:sz w:val="22"/>
                <w:szCs w:val="22"/>
                <w:lang w:eastAsia="en-US"/>
              </w:rPr>
              <w:t>9.064,16</w:t>
            </w:r>
            <w:r w:rsidRPr="00D231FA">
              <w:rPr>
                <w:b/>
                <w:sz w:val="22"/>
                <w:szCs w:val="22"/>
                <w:lang w:eastAsia="en-US"/>
              </w:rPr>
              <w:fldChar w:fldCharType="end"/>
            </w:r>
          </w:p>
        </w:tc>
      </w:tr>
    </w:tbl>
    <w:p w:rsidR="00ED6365" w:rsidRDefault="00ED6365" w:rsidP="00ED6365"/>
    <w:p w:rsidR="00ED6365" w:rsidRPr="00AC63D4" w:rsidRDefault="00ED6365" w:rsidP="00ED6365">
      <w:r>
        <w:rPr>
          <w:b/>
        </w:rPr>
        <w:t xml:space="preserve">d) </w:t>
      </w:r>
      <w:r w:rsidRPr="00AC63D4">
        <w:rPr>
          <w:b/>
        </w:rPr>
        <w:t>u Knjižnici</w:t>
      </w:r>
      <w:r w:rsidRPr="00AC63D4">
        <w:t xml:space="preserve"> na dan 31.12.2</w:t>
      </w:r>
      <w:r w:rsidR="00D231FA">
        <w:t>5</w:t>
      </w:r>
      <w:r w:rsidRPr="00AC63D4">
        <w:t xml:space="preserve">. </w:t>
      </w:r>
      <w:r>
        <w:t>nema neizmirenih obveza, sve je podmireno.</w:t>
      </w:r>
    </w:p>
    <w:p w:rsidR="00ED6365" w:rsidRDefault="00ED6365" w:rsidP="00ED6365">
      <w:pPr>
        <w:rPr>
          <w:b/>
          <w:u w:val="single"/>
        </w:rPr>
      </w:pPr>
    </w:p>
    <w:p w:rsidR="00C85CC3" w:rsidRDefault="00C85CC3" w:rsidP="00ED6365">
      <w:pPr>
        <w:rPr>
          <w:b/>
          <w:u w:val="single"/>
        </w:rPr>
      </w:pPr>
    </w:p>
    <w:p w:rsidR="00ED6365" w:rsidRDefault="00ED6365" w:rsidP="00ED6365">
      <w:pPr>
        <w:rPr>
          <w:b/>
          <w:bCs/>
          <w:u w:val="single"/>
        </w:rPr>
      </w:pPr>
      <w:r w:rsidRPr="00012F35">
        <w:rPr>
          <w:b/>
          <w:bCs/>
          <w:u w:val="single"/>
        </w:rPr>
        <w:t>3. Potencijalne obveze po osnovi sudskih sporova u 202</w:t>
      </w:r>
      <w:r>
        <w:rPr>
          <w:b/>
          <w:bCs/>
          <w:u w:val="single"/>
        </w:rPr>
        <w:t>5</w:t>
      </w:r>
      <w:r w:rsidRPr="00012F35">
        <w:rPr>
          <w:b/>
          <w:bCs/>
          <w:u w:val="single"/>
        </w:rPr>
        <w:t>. godini</w:t>
      </w:r>
    </w:p>
    <w:p w:rsidR="00FF5707" w:rsidRDefault="00FF5707" w:rsidP="00FF5707">
      <w:pPr>
        <w:rPr>
          <w:b/>
          <w:u w:val="single"/>
        </w:rPr>
      </w:pPr>
    </w:p>
    <w:p w:rsidR="00ED6365" w:rsidRDefault="00ED6365" w:rsidP="00ED6365">
      <w:r>
        <w:t xml:space="preserve">Stanje potencijalnih obveza po osnovi sudskih sporova u tijeku u 2025. godini, na dan 01.01. iznosi 29.725,50 EUR. Zavedeni sporovi u tekućoj godini iznose 15.233,54 EUR. Sporovi završeni u tekućoj godini su 16.390,52 EUR, te je stanje potencijalnih obveza po sudskim sporovima na dan 31.12.2025. godine </w:t>
      </w:r>
      <w:bookmarkStart w:id="10" w:name="_Hlk220406803"/>
      <w:r>
        <w:t xml:space="preserve">28.568,52 </w:t>
      </w:r>
      <w:bookmarkEnd w:id="10"/>
      <w:r>
        <w:t xml:space="preserve">EUR. </w:t>
      </w:r>
    </w:p>
    <w:p w:rsidR="00ED6365" w:rsidRDefault="00ED6365" w:rsidP="00ED6365">
      <w:r>
        <w:t>Temeljem Izvješća Upravnog odjela za imovinsko-pravne poslove, gospodarenje prostorom i komunalne djelatnosti, o popisu sudskih-parničnih i izvanparničnih postupaka, u kojima je Općina Vela Luka stranka, radi se evidencija u računovodstvu proračuna na kontima 991510 i 996510, dvaput, polugodišnje i godišnje.</w:t>
      </w:r>
    </w:p>
    <w:p w:rsidR="00ED6365" w:rsidRDefault="00ED6365" w:rsidP="00ED6365"/>
    <w:tbl>
      <w:tblPr>
        <w:tblW w:w="8940" w:type="dxa"/>
        <w:tblInd w:w="113" w:type="dxa"/>
        <w:tblLook w:val="04A0" w:firstRow="1" w:lastRow="0" w:firstColumn="1" w:lastColumn="0" w:noHBand="0" w:noVBand="1"/>
      </w:tblPr>
      <w:tblGrid>
        <w:gridCol w:w="5780"/>
        <w:gridCol w:w="3160"/>
      </w:tblGrid>
      <w:tr w:rsidR="00ED6365" w:rsidTr="00ED6365">
        <w:trPr>
          <w:trHeight w:val="402"/>
        </w:trPr>
        <w:tc>
          <w:tcPr>
            <w:tcW w:w="5780" w:type="dxa"/>
            <w:tcBorders>
              <w:top w:val="single" w:sz="4" w:space="0" w:color="auto"/>
              <w:left w:val="single" w:sz="4" w:space="0" w:color="auto"/>
              <w:bottom w:val="single" w:sz="4" w:space="0" w:color="auto"/>
              <w:right w:val="single" w:sz="4" w:space="0" w:color="auto"/>
            </w:tcBorders>
            <w:shd w:val="clear" w:color="auto" w:fill="C0C0C0"/>
            <w:noWrap/>
            <w:vAlign w:val="bottom"/>
            <w:hideMark/>
          </w:tcPr>
          <w:p w:rsidR="00ED6365" w:rsidRDefault="00ED6365">
            <w:pPr>
              <w:jc w:val="center"/>
              <w:rPr>
                <w:rFonts w:ascii="Arial" w:hAnsi="Arial" w:cs="Arial"/>
                <w:b/>
                <w:bCs/>
              </w:rPr>
            </w:pPr>
            <w:r>
              <w:rPr>
                <w:rFonts w:ascii="Arial" w:hAnsi="Arial" w:cs="Arial"/>
                <w:b/>
                <w:bCs/>
              </w:rPr>
              <w:t>OPIS</w:t>
            </w:r>
          </w:p>
        </w:tc>
        <w:tc>
          <w:tcPr>
            <w:tcW w:w="3160" w:type="dxa"/>
            <w:tcBorders>
              <w:top w:val="single" w:sz="4" w:space="0" w:color="auto"/>
              <w:left w:val="nil"/>
              <w:bottom w:val="single" w:sz="4" w:space="0" w:color="auto"/>
              <w:right w:val="single" w:sz="4" w:space="0" w:color="auto"/>
            </w:tcBorders>
            <w:shd w:val="clear" w:color="auto" w:fill="C0C0C0"/>
            <w:noWrap/>
            <w:vAlign w:val="bottom"/>
            <w:hideMark/>
          </w:tcPr>
          <w:p w:rsidR="00ED6365" w:rsidRDefault="00ED6365">
            <w:pPr>
              <w:jc w:val="center"/>
              <w:rPr>
                <w:rFonts w:ascii="Arial" w:hAnsi="Arial" w:cs="Arial"/>
                <w:b/>
                <w:bCs/>
              </w:rPr>
            </w:pPr>
            <w:r>
              <w:rPr>
                <w:rFonts w:ascii="Arial" w:hAnsi="Arial" w:cs="Arial"/>
                <w:b/>
                <w:bCs/>
              </w:rPr>
              <w:t>IZNOS</w:t>
            </w:r>
          </w:p>
        </w:tc>
      </w:tr>
      <w:tr w:rsidR="00ED6365" w:rsidTr="00ED6365">
        <w:trPr>
          <w:trHeight w:val="402"/>
        </w:trPr>
        <w:tc>
          <w:tcPr>
            <w:tcW w:w="5780" w:type="dxa"/>
            <w:tcBorders>
              <w:top w:val="nil"/>
              <w:left w:val="single" w:sz="4" w:space="0" w:color="auto"/>
              <w:bottom w:val="single" w:sz="4" w:space="0" w:color="auto"/>
              <w:right w:val="single" w:sz="4" w:space="0" w:color="auto"/>
            </w:tcBorders>
            <w:noWrap/>
            <w:vAlign w:val="bottom"/>
            <w:hideMark/>
          </w:tcPr>
          <w:p w:rsidR="00ED6365" w:rsidRDefault="00ED6365">
            <w:pPr>
              <w:rPr>
                <w:rFonts w:ascii="Arial" w:hAnsi="Arial" w:cs="Arial"/>
                <w:b/>
                <w:bCs/>
                <w:sz w:val="20"/>
                <w:szCs w:val="20"/>
              </w:rPr>
            </w:pPr>
            <w:r>
              <w:rPr>
                <w:rFonts w:ascii="Arial" w:hAnsi="Arial" w:cs="Arial"/>
                <w:b/>
                <w:bCs/>
                <w:sz w:val="20"/>
                <w:szCs w:val="20"/>
              </w:rPr>
              <w:t>Stanje 1.1.</w:t>
            </w:r>
          </w:p>
        </w:tc>
        <w:tc>
          <w:tcPr>
            <w:tcW w:w="3160" w:type="dxa"/>
            <w:tcBorders>
              <w:top w:val="single" w:sz="4" w:space="0" w:color="auto"/>
              <w:left w:val="nil"/>
              <w:bottom w:val="single" w:sz="4" w:space="0" w:color="auto"/>
              <w:right w:val="single" w:sz="4" w:space="0" w:color="auto"/>
            </w:tcBorders>
            <w:noWrap/>
            <w:vAlign w:val="bottom"/>
            <w:hideMark/>
          </w:tcPr>
          <w:p w:rsidR="00ED6365" w:rsidRDefault="00ED6365">
            <w:pPr>
              <w:jc w:val="right"/>
              <w:rPr>
                <w:rFonts w:ascii="Arial" w:hAnsi="Arial" w:cs="Arial"/>
                <w:sz w:val="20"/>
                <w:szCs w:val="20"/>
              </w:rPr>
            </w:pPr>
            <w:r>
              <w:rPr>
                <w:rFonts w:ascii="Arial" w:hAnsi="Arial" w:cs="Arial"/>
                <w:sz w:val="20"/>
                <w:szCs w:val="20"/>
              </w:rPr>
              <w:t>29.725,50</w:t>
            </w:r>
          </w:p>
        </w:tc>
      </w:tr>
      <w:tr w:rsidR="00ED6365" w:rsidTr="00ED6365">
        <w:trPr>
          <w:trHeight w:val="402"/>
        </w:trPr>
        <w:tc>
          <w:tcPr>
            <w:tcW w:w="5780" w:type="dxa"/>
            <w:tcBorders>
              <w:top w:val="nil"/>
              <w:left w:val="single" w:sz="4" w:space="0" w:color="auto"/>
              <w:bottom w:val="single" w:sz="4" w:space="0" w:color="auto"/>
              <w:right w:val="single" w:sz="4" w:space="0" w:color="auto"/>
            </w:tcBorders>
            <w:noWrap/>
            <w:vAlign w:val="bottom"/>
            <w:hideMark/>
          </w:tcPr>
          <w:p w:rsidR="00ED6365" w:rsidRDefault="00ED6365">
            <w:pPr>
              <w:rPr>
                <w:rFonts w:ascii="Arial" w:hAnsi="Arial" w:cs="Arial"/>
                <w:b/>
                <w:bCs/>
                <w:sz w:val="20"/>
                <w:szCs w:val="20"/>
              </w:rPr>
            </w:pPr>
            <w:r>
              <w:rPr>
                <w:rFonts w:ascii="Arial" w:hAnsi="Arial" w:cs="Arial"/>
                <w:b/>
                <w:bCs/>
                <w:sz w:val="20"/>
                <w:szCs w:val="20"/>
              </w:rPr>
              <w:t>Zavedeni sporovi u tekućoj godini</w:t>
            </w:r>
          </w:p>
        </w:tc>
        <w:tc>
          <w:tcPr>
            <w:tcW w:w="3160" w:type="dxa"/>
            <w:tcBorders>
              <w:top w:val="single" w:sz="4" w:space="0" w:color="auto"/>
              <w:left w:val="nil"/>
              <w:bottom w:val="single" w:sz="4" w:space="0" w:color="auto"/>
              <w:right w:val="single" w:sz="4" w:space="0" w:color="auto"/>
            </w:tcBorders>
            <w:noWrap/>
            <w:vAlign w:val="bottom"/>
            <w:hideMark/>
          </w:tcPr>
          <w:p w:rsidR="00ED6365" w:rsidRDefault="00ED6365">
            <w:pPr>
              <w:jc w:val="right"/>
              <w:rPr>
                <w:rFonts w:ascii="Arial" w:hAnsi="Arial" w:cs="Arial"/>
                <w:sz w:val="20"/>
                <w:szCs w:val="20"/>
              </w:rPr>
            </w:pPr>
            <w:r>
              <w:rPr>
                <w:rFonts w:ascii="Arial" w:hAnsi="Arial" w:cs="Arial"/>
                <w:sz w:val="20"/>
                <w:szCs w:val="20"/>
              </w:rPr>
              <w:t>15.233,54</w:t>
            </w:r>
          </w:p>
        </w:tc>
      </w:tr>
      <w:tr w:rsidR="00ED6365" w:rsidTr="00ED6365">
        <w:trPr>
          <w:trHeight w:val="255"/>
        </w:trPr>
        <w:tc>
          <w:tcPr>
            <w:tcW w:w="5780" w:type="dxa"/>
            <w:tcBorders>
              <w:top w:val="nil"/>
              <w:left w:val="single" w:sz="4" w:space="0" w:color="auto"/>
              <w:bottom w:val="single" w:sz="4" w:space="0" w:color="auto"/>
              <w:right w:val="single" w:sz="4" w:space="0" w:color="auto"/>
            </w:tcBorders>
            <w:noWrap/>
            <w:vAlign w:val="bottom"/>
            <w:hideMark/>
          </w:tcPr>
          <w:p w:rsidR="00ED6365" w:rsidRDefault="00ED6365">
            <w:pPr>
              <w:rPr>
                <w:rFonts w:ascii="Arial" w:hAnsi="Arial" w:cs="Arial"/>
                <w:b/>
                <w:bCs/>
                <w:sz w:val="20"/>
                <w:szCs w:val="20"/>
              </w:rPr>
            </w:pPr>
            <w:r>
              <w:rPr>
                <w:rFonts w:ascii="Arial" w:hAnsi="Arial" w:cs="Arial"/>
                <w:b/>
                <w:bCs/>
                <w:sz w:val="20"/>
                <w:szCs w:val="20"/>
              </w:rPr>
              <w:t>Sporovi završeni u tekućoj godini</w:t>
            </w:r>
          </w:p>
        </w:tc>
        <w:tc>
          <w:tcPr>
            <w:tcW w:w="3160" w:type="dxa"/>
            <w:tcBorders>
              <w:top w:val="single" w:sz="4" w:space="0" w:color="auto"/>
              <w:left w:val="nil"/>
              <w:bottom w:val="single" w:sz="4" w:space="0" w:color="auto"/>
              <w:right w:val="single" w:sz="4" w:space="0" w:color="auto"/>
            </w:tcBorders>
            <w:noWrap/>
            <w:vAlign w:val="bottom"/>
            <w:hideMark/>
          </w:tcPr>
          <w:p w:rsidR="00ED6365" w:rsidRDefault="00ED6365">
            <w:pPr>
              <w:jc w:val="right"/>
              <w:rPr>
                <w:rFonts w:ascii="Arial" w:hAnsi="Arial" w:cs="Arial"/>
                <w:sz w:val="20"/>
                <w:szCs w:val="20"/>
              </w:rPr>
            </w:pPr>
            <w:r>
              <w:rPr>
                <w:rFonts w:ascii="Arial" w:hAnsi="Arial" w:cs="Arial"/>
                <w:sz w:val="20"/>
                <w:szCs w:val="20"/>
              </w:rPr>
              <w:t>16.390,52</w:t>
            </w:r>
          </w:p>
        </w:tc>
      </w:tr>
      <w:tr w:rsidR="00ED6365" w:rsidTr="00ED6365">
        <w:trPr>
          <w:trHeight w:val="255"/>
        </w:trPr>
        <w:tc>
          <w:tcPr>
            <w:tcW w:w="5780" w:type="dxa"/>
            <w:tcBorders>
              <w:top w:val="nil"/>
              <w:left w:val="single" w:sz="4" w:space="0" w:color="auto"/>
              <w:bottom w:val="single" w:sz="4" w:space="0" w:color="auto"/>
              <w:right w:val="single" w:sz="4" w:space="0" w:color="auto"/>
            </w:tcBorders>
            <w:noWrap/>
            <w:vAlign w:val="bottom"/>
            <w:hideMark/>
          </w:tcPr>
          <w:p w:rsidR="00ED6365" w:rsidRDefault="00ED6365">
            <w:pPr>
              <w:rPr>
                <w:rFonts w:ascii="Arial" w:hAnsi="Arial" w:cs="Arial"/>
                <w:b/>
                <w:bCs/>
                <w:sz w:val="20"/>
                <w:szCs w:val="20"/>
              </w:rPr>
            </w:pPr>
            <w:r>
              <w:rPr>
                <w:rFonts w:ascii="Arial" w:hAnsi="Arial" w:cs="Arial"/>
                <w:b/>
                <w:bCs/>
                <w:sz w:val="20"/>
                <w:szCs w:val="20"/>
              </w:rPr>
              <w:t>Stanje pot.obveza po sudskim sporovima 31.12.2025.g.</w:t>
            </w:r>
          </w:p>
        </w:tc>
        <w:tc>
          <w:tcPr>
            <w:tcW w:w="3160" w:type="dxa"/>
            <w:tcBorders>
              <w:top w:val="single" w:sz="4" w:space="0" w:color="auto"/>
              <w:left w:val="nil"/>
              <w:bottom w:val="single" w:sz="4" w:space="0" w:color="auto"/>
              <w:right w:val="single" w:sz="4" w:space="0" w:color="auto"/>
            </w:tcBorders>
            <w:noWrap/>
            <w:vAlign w:val="bottom"/>
            <w:hideMark/>
          </w:tcPr>
          <w:p w:rsidR="00ED6365" w:rsidRDefault="00ED6365">
            <w:pPr>
              <w:jc w:val="right"/>
              <w:rPr>
                <w:rFonts w:ascii="Arial" w:hAnsi="Arial" w:cs="Arial"/>
                <w:sz w:val="20"/>
                <w:szCs w:val="20"/>
              </w:rPr>
            </w:pPr>
            <w:r>
              <w:rPr>
                <w:rFonts w:ascii="Arial" w:hAnsi="Arial" w:cs="Arial"/>
                <w:sz w:val="20"/>
                <w:szCs w:val="20"/>
              </w:rPr>
              <w:t>28.568,52</w:t>
            </w:r>
          </w:p>
        </w:tc>
      </w:tr>
    </w:tbl>
    <w:p w:rsidR="00ED6365" w:rsidRDefault="00ED6365" w:rsidP="00ED6365"/>
    <w:sectPr w:rsidR="00ED6365" w:rsidSect="00A1662E">
      <w:footerReference w:type="default" r:id="rId8"/>
      <w:pgSz w:w="11906" w:h="16838"/>
      <w:pgMar w:top="720" w:right="566"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D16" w:rsidRDefault="006E3D16" w:rsidP="00DD363D">
      <w:r>
        <w:separator/>
      </w:r>
    </w:p>
  </w:endnote>
  <w:endnote w:type="continuationSeparator" w:id="0">
    <w:p w:rsidR="006E3D16" w:rsidRDefault="006E3D16" w:rsidP="00DD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CD7" w:rsidRDefault="008C3CD7">
    <w:pPr>
      <w:pStyle w:val="Footer"/>
      <w:jc w:val="right"/>
    </w:pPr>
    <w:r>
      <w:fldChar w:fldCharType="begin"/>
    </w:r>
    <w:r>
      <w:instrText xml:space="preserve"> PAGE   \* MERGEFORMAT </w:instrText>
    </w:r>
    <w:r>
      <w:fldChar w:fldCharType="separate"/>
    </w:r>
    <w:r>
      <w:rPr>
        <w:noProof/>
      </w:rPr>
      <w:t>4</w:t>
    </w:r>
    <w:r>
      <w:rPr>
        <w:noProof/>
      </w:rPr>
      <w:fldChar w:fldCharType="end"/>
    </w:r>
  </w:p>
  <w:p w:rsidR="008C3CD7" w:rsidRDefault="008C3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D16" w:rsidRDefault="006E3D16" w:rsidP="00DD363D">
      <w:r>
        <w:separator/>
      </w:r>
    </w:p>
  </w:footnote>
  <w:footnote w:type="continuationSeparator" w:id="0">
    <w:p w:rsidR="006E3D16" w:rsidRDefault="006E3D16" w:rsidP="00DD3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E2CD5"/>
    <w:multiLevelType w:val="hybridMultilevel"/>
    <w:tmpl w:val="7E6C9D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93302A"/>
    <w:multiLevelType w:val="hybridMultilevel"/>
    <w:tmpl w:val="F64C72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FA737C3"/>
    <w:multiLevelType w:val="hybridMultilevel"/>
    <w:tmpl w:val="4A40D45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 w15:restartNumberingAfterBreak="0">
    <w:nsid w:val="2D750D48"/>
    <w:multiLevelType w:val="hybridMultilevel"/>
    <w:tmpl w:val="411C3A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54F4EE7"/>
    <w:multiLevelType w:val="hybridMultilevel"/>
    <w:tmpl w:val="03AE774E"/>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5" w15:restartNumberingAfterBreak="0">
    <w:nsid w:val="4024654E"/>
    <w:multiLevelType w:val="hybridMultilevel"/>
    <w:tmpl w:val="7D4C4B18"/>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6" w15:restartNumberingAfterBreak="0">
    <w:nsid w:val="4F0B0D28"/>
    <w:multiLevelType w:val="hybridMultilevel"/>
    <w:tmpl w:val="C8E6D3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1B25A72"/>
    <w:multiLevelType w:val="hybridMultilevel"/>
    <w:tmpl w:val="1AFA5B66"/>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8" w15:restartNumberingAfterBreak="0">
    <w:nsid w:val="52665FA8"/>
    <w:multiLevelType w:val="hybridMultilevel"/>
    <w:tmpl w:val="120A624E"/>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9" w15:restartNumberingAfterBreak="0">
    <w:nsid w:val="571F7E7F"/>
    <w:multiLevelType w:val="hybridMultilevel"/>
    <w:tmpl w:val="A5064D28"/>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0" w15:restartNumberingAfterBreak="0">
    <w:nsid w:val="5F825266"/>
    <w:multiLevelType w:val="hybridMultilevel"/>
    <w:tmpl w:val="291C897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663C501F"/>
    <w:multiLevelType w:val="hybridMultilevel"/>
    <w:tmpl w:val="F34AEB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10"/>
  </w:num>
  <w:num w:numId="5">
    <w:abstractNumId w:val="2"/>
  </w:num>
  <w:num w:numId="6">
    <w:abstractNumId w:val="0"/>
  </w:num>
  <w:num w:numId="7">
    <w:abstractNumId w:val="7"/>
  </w:num>
  <w:num w:numId="8">
    <w:abstractNumId w:val="11"/>
  </w:num>
  <w:num w:numId="9">
    <w:abstractNumId w:val="3"/>
  </w:num>
  <w:num w:numId="10">
    <w:abstractNumId w:val="1"/>
  </w:num>
  <w:num w:numId="11">
    <w:abstractNumId w:val="5"/>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AA9"/>
    <w:rsid w:val="00001698"/>
    <w:rsid w:val="00001C71"/>
    <w:rsid w:val="00002F4F"/>
    <w:rsid w:val="0001017D"/>
    <w:rsid w:val="000150A9"/>
    <w:rsid w:val="00015BAF"/>
    <w:rsid w:val="000161EC"/>
    <w:rsid w:val="00016A1E"/>
    <w:rsid w:val="00020FF9"/>
    <w:rsid w:val="000240D5"/>
    <w:rsid w:val="0003209B"/>
    <w:rsid w:val="0003383C"/>
    <w:rsid w:val="000346A3"/>
    <w:rsid w:val="00034929"/>
    <w:rsid w:val="000358D4"/>
    <w:rsid w:val="00035EF0"/>
    <w:rsid w:val="0003725E"/>
    <w:rsid w:val="000402BB"/>
    <w:rsid w:val="00040AB5"/>
    <w:rsid w:val="00041B5A"/>
    <w:rsid w:val="0004329B"/>
    <w:rsid w:val="00046144"/>
    <w:rsid w:val="00047832"/>
    <w:rsid w:val="0004791B"/>
    <w:rsid w:val="00050127"/>
    <w:rsid w:val="00050594"/>
    <w:rsid w:val="00050A79"/>
    <w:rsid w:val="00052A1A"/>
    <w:rsid w:val="000532A1"/>
    <w:rsid w:val="00060045"/>
    <w:rsid w:val="000620EF"/>
    <w:rsid w:val="00062C4D"/>
    <w:rsid w:val="00065790"/>
    <w:rsid w:val="00070C81"/>
    <w:rsid w:val="00071168"/>
    <w:rsid w:val="00071499"/>
    <w:rsid w:val="00071A87"/>
    <w:rsid w:val="00072705"/>
    <w:rsid w:val="000729DE"/>
    <w:rsid w:val="00076ED9"/>
    <w:rsid w:val="000810C4"/>
    <w:rsid w:val="0008576E"/>
    <w:rsid w:val="000865D6"/>
    <w:rsid w:val="00086D6B"/>
    <w:rsid w:val="00090261"/>
    <w:rsid w:val="000911D0"/>
    <w:rsid w:val="00091334"/>
    <w:rsid w:val="00094700"/>
    <w:rsid w:val="00095EE2"/>
    <w:rsid w:val="00096078"/>
    <w:rsid w:val="000A33E1"/>
    <w:rsid w:val="000A4F48"/>
    <w:rsid w:val="000A6CBB"/>
    <w:rsid w:val="000A7521"/>
    <w:rsid w:val="000B02F6"/>
    <w:rsid w:val="000B1B77"/>
    <w:rsid w:val="000B42A0"/>
    <w:rsid w:val="000B756C"/>
    <w:rsid w:val="000C044C"/>
    <w:rsid w:val="000C1E51"/>
    <w:rsid w:val="000C581A"/>
    <w:rsid w:val="000C5D30"/>
    <w:rsid w:val="000D0997"/>
    <w:rsid w:val="000D10E7"/>
    <w:rsid w:val="000D17E2"/>
    <w:rsid w:val="000D1CC2"/>
    <w:rsid w:val="000D5364"/>
    <w:rsid w:val="000D5E27"/>
    <w:rsid w:val="000D633D"/>
    <w:rsid w:val="000D66B5"/>
    <w:rsid w:val="000D68FB"/>
    <w:rsid w:val="000D7EB7"/>
    <w:rsid w:val="000E019F"/>
    <w:rsid w:val="000E0F6B"/>
    <w:rsid w:val="000E75AA"/>
    <w:rsid w:val="000E75CB"/>
    <w:rsid w:val="000E7688"/>
    <w:rsid w:val="000F5A66"/>
    <w:rsid w:val="000F620E"/>
    <w:rsid w:val="000F7892"/>
    <w:rsid w:val="000F7A29"/>
    <w:rsid w:val="001002E4"/>
    <w:rsid w:val="00102A56"/>
    <w:rsid w:val="00104C77"/>
    <w:rsid w:val="001063AC"/>
    <w:rsid w:val="00107FF1"/>
    <w:rsid w:val="001129FD"/>
    <w:rsid w:val="00112F1F"/>
    <w:rsid w:val="001204F5"/>
    <w:rsid w:val="00123233"/>
    <w:rsid w:val="001237D3"/>
    <w:rsid w:val="00123E7E"/>
    <w:rsid w:val="001245F4"/>
    <w:rsid w:val="00124C4C"/>
    <w:rsid w:val="001257D0"/>
    <w:rsid w:val="001257E2"/>
    <w:rsid w:val="00126528"/>
    <w:rsid w:val="00127068"/>
    <w:rsid w:val="001307D6"/>
    <w:rsid w:val="00131FA9"/>
    <w:rsid w:val="00132DF9"/>
    <w:rsid w:val="0013321E"/>
    <w:rsid w:val="00133F6F"/>
    <w:rsid w:val="0013570E"/>
    <w:rsid w:val="00135A5A"/>
    <w:rsid w:val="001370C9"/>
    <w:rsid w:val="00137942"/>
    <w:rsid w:val="00142F20"/>
    <w:rsid w:val="00144287"/>
    <w:rsid w:val="00145BD2"/>
    <w:rsid w:val="00150D01"/>
    <w:rsid w:val="00156B4A"/>
    <w:rsid w:val="001576BD"/>
    <w:rsid w:val="0015790A"/>
    <w:rsid w:val="00162D47"/>
    <w:rsid w:val="00164EC2"/>
    <w:rsid w:val="00164F05"/>
    <w:rsid w:val="00166998"/>
    <w:rsid w:val="001675A7"/>
    <w:rsid w:val="00173F71"/>
    <w:rsid w:val="00175907"/>
    <w:rsid w:val="001766A2"/>
    <w:rsid w:val="00181520"/>
    <w:rsid w:val="00181666"/>
    <w:rsid w:val="00182643"/>
    <w:rsid w:val="00182663"/>
    <w:rsid w:val="00184A3F"/>
    <w:rsid w:val="00194588"/>
    <w:rsid w:val="001950E8"/>
    <w:rsid w:val="001958CF"/>
    <w:rsid w:val="001A5440"/>
    <w:rsid w:val="001A59D6"/>
    <w:rsid w:val="001A62B8"/>
    <w:rsid w:val="001A634B"/>
    <w:rsid w:val="001A7338"/>
    <w:rsid w:val="001B071A"/>
    <w:rsid w:val="001B11CA"/>
    <w:rsid w:val="001B3CCA"/>
    <w:rsid w:val="001B428D"/>
    <w:rsid w:val="001B4E44"/>
    <w:rsid w:val="001C0834"/>
    <w:rsid w:val="001C0D66"/>
    <w:rsid w:val="001C1838"/>
    <w:rsid w:val="001C3D06"/>
    <w:rsid w:val="001C4AA5"/>
    <w:rsid w:val="001C57C0"/>
    <w:rsid w:val="001C69B9"/>
    <w:rsid w:val="001D2569"/>
    <w:rsid w:val="001D783C"/>
    <w:rsid w:val="001D7C05"/>
    <w:rsid w:val="001E09EA"/>
    <w:rsid w:val="001E3781"/>
    <w:rsid w:val="001E38B5"/>
    <w:rsid w:val="001E3EEE"/>
    <w:rsid w:val="001E4949"/>
    <w:rsid w:val="001E5E5C"/>
    <w:rsid w:val="001E5F58"/>
    <w:rsid w:val="001E6DE7"/>
    <w:rsid w:val="001E7CA5"/>
    <w:rsid w:val="001F02E3"/>
    <w:rsid w:val="001F0FC6"/>
    <w:rsid w:val="001F28EC"/>
    <w:rsid w:val="001F2EB8"/>
    <w:rsid w:val="001F34DB"/>
    <w:rsid w:val="001F4AB3"/>
    <w:rsid w:val="001F594A"/>
    <w:rsid w:val="001F6DE6"/>
    <w:rsid w:val="001F7C53"/>
    <w:rsid w:val="002017BF"/>
    <w:rsid w:val="002022A3"/>
    <w:rsid w:val="00204A2A"/>
    <w:rsid w:val="00204CD9"/>
    <w:rsid w:val="00205F21"/>
    <w:rsid w:val="002069AE"/>
    <w:rsid w:val="00213912"/>
    <w:rsid w:val="0021463A"/>
    <w:rsid w:val="00214DA2"/>
    <w:rsid w:val="0021649C"/>
    <w:rsid w:val="00216819"/>
    <w:rsid w:val="00217C7D"/>
    <w:rsid w:val="0022184B"/>
    <w:rsid w:val="00221F11"/>
    <w:rsid w:val="00223559"/>
    <w:rsid w:val="00223BC4"/>
    <w:rsid w:val="002249C6"/>
    <w:rsid w:val="0022548D"/>
    <w:rsid w:val="00225C4C"/>
    <w:rsid w:val="00227802"/>
    <w:rsid w:val="002306D0"/>
    <w:rsid w:val="00235CBC"/>
    <w:rsid w:val="00244BF3"/>
    <w:rsid w:val="00245A36"/>
    <w:rsid w:val="0024658A"/>
    <w:rsid w:val="0025021E"/>
    <w:rsid w:val="00250DC4"/>
    <w:rsid w:val="0025365C"/>
    <w:rsid w:val="00254B16"/>
    <w:rsid w:val="00254B8B"/>
    <w:rsid w:val="00255AA3"/>
    <w:rsid w:val="00255D93"/>
    <w:rsid w:val="00256291"/>
    <w:rsid w:val="002567A9"/>
    <w:rsid w:val="00257138"/>
    <w:rsid w:val="00260551"/>
    <w:rsid w:val="00260E8B"/>
    <w:rsid w:val="00261E8F"/>
    <w:rsid w:val="00262DAB"/>
    <w:rsid w:val="0026414C"/>
    <w:rsid w:val="00266447"/>
    <w:rsid w:val="00267749"/>
    <w:rsid w:val="00270970"/>
    <w:rsid w:val="00274BD1"/>
    <w:rsid w:val="00274DCB"/>
    <w:rsid w:val="0027545D"/>
    <w:rsid w:val="00280002"/>
    <w:rsid w:val="00280536"/>
    <w:rsid w:val="0028271B"/>
    <w:rsid w:val="002828BF"/>
    <w:rsid w:val="00285BDF"/>
    <w:rsid w:val="002860C0"/>
    <w:rsid w:val="002871ED"/>
    <w:rsid w:val="002903E3"/>
    <w:rsid w:val="0029233F"/>
    <w:rsid w:val="00292E45"/>
    <w:rsid w:val="00294591"/>
    <w:rsid w:val="0029598D"/>
    <w:rsid w:val="002961ED"/>
    <w:rsid w:val="00297331"/>
    <w:rsid w:val="002A0489"/>
    <w:rsid w:val="002A1B62"/>
    <w:rsid w:val="002A30E3"/>
    <w:rsid w:val="002A3DC9"/>
    <w:rsid w:val="002A4BEA"/>
    <w:rsid w:val="002A5614"/>
    <w:rsid w:val="002A71CB"/>
    <w:rsid w:val="002A794F"/>
    <w:rsid w:val="002B052E"/>
    <w:rsid w:val="002C03B8"/>
    <w:rsid w:val="002C1D18"/>
    <w:rsid w:val="002C7466"/>
    <w:rsid w:val="002C7F11"/>
    <w:rsid w:val="002D0C37"/>
    <w:rsid w:val="002D27EB"/>
    <w:rsid w:val="002D3821"/>
    <w:rsid w:val="002D3C13"/>
    <w:rsid w:val="002D44C5"/>
    <w:rsid w:val="002D5174"/>
    <w:rsid w:val="002E078B"/>
    <w:rsid w:val="002E0E55"/>
    <w:rsid w:val="002E2C46"/>
    <w:rsid w:val="002E6961"/>
    <w:rsid w:val="002F2003"/>
    <w:rsid w:val="002F20CA"/>
    <w:rsid w:val="002F247A"/>
    <w:rsid w:val="002F3C43"/>
    <w:rsid w:val="002F71C5"/>
    <w:rsid w:val="003002F9"/>
    <w:rsid w:val="0030061E"/>
    <w:rsid w:val="0030334D"/>
    <w:rsid w:val="0030417B"/>
    <w:rsid w:val="00304441"/>
    <w:rsid w:val="0030500F"/>
    <w:rsid w:val="00310A0D"/>
    <w:rsid w:val="00310F4B"/>
    <w:rsid w:val="0031451B"/>
    <w:rsid w:val="003148CA"/>
    <w:rsid w:val="00315EE8"/>
    <w:rsid w:val="003165AA"/>
    <w:rsid w:val="00317229"/>
    <w:rsid w:val="00317DE8"/>
    <w:rsid w:val="00317F29"/>
    <w:rsid w:val="00320095"/>
    <w:rsid w:val="00321598"/>
    <w:rsid w:val="00321B97"/>
    <w:rsid w:val="00321E9C"/>
    <w:rsid w:val="0032245D"/>
    <w:rsid w:val="003229D7"/>
    <w:rsid w:val="0032402C"/>
    <w:rsid w:val="00324D1B"/>
    <w:rsid w:val="00325952"/>
    <w:rsid w:val="00331683"/>
    <w:rsid w:val="00331B1F"/>
    <w:rsid w:val="00332E82"/>
    <w:rsid w:val="00334729"/>
    <w:rsid w:val="003351CB"/>
    <w:rsid w:val="00342C30"/>
    <w:rsid w:val="00342F41"/>
    <w:rsid w:val="00343493"/>
    <w:rsid w:val="00343809"/>
    <w:rsid w:val="0034500F"/>
    <w:rsid w:val="0034639E"/>
    <w:rsid w:val="00346EF3"/>
    <w:rsid w:val="00347386"/>
    <w:rsid w:val="00350C98"/>
    <w:rsid w:val="00351428"/>
    <w:rsid w:val="00351C61"/>
    <w:rsid w:val="00352828"/>
    <w:rsid w:val="00353A42"/>
    <w:rsid w:val="0035491B"/>
    <w:rsid w:val="00356D11"/>
    <w:rsid w:val="00357ECB"/>
    <w:rsid w:val="0036145F"/>
    <w:rsid w:val="003646CE"/>
    <w:rsid w:val="0036471C"/>
    <w:rsid w:val="00364CE7"/>
    <w:rsid w:val="00365501"/>
    <w:rsid w:val="00367D49"/>
    <w:rsid w:val="003714A6"/>
    <w:rsid w:val="003751A4"/>
    <w:rsid w:val="003767F7"/>
    <w:rsid w:val="00376924"/>
    <w:rsid w:val="00380E59"/>
    <w:rsid w:val="00385AA3"/>
    <w:rsid w:val="00386FAC"/>
    <w:rsid w:val="00391EB1"/>
    <w:rsid w:val="00393326"/>
    <w:rsid w:val="00393AF8"/>
    <w:rsid w:val="00394EE2"/>
    <w:rsid w:val="00395262"/>
    <w:rsid w:val="00395E33"/>
    <w:rsid w:val="0039742A"/>
    <w:rsid w:val="003A11DA"/>
    <w:rsid w:val="003A237E"/>
    <w:rsid w:val="003A35B2"/>
    <w:rsid w:val="003A379E"/>
    <w:rsid w:val="003A3D03"/>
    <w:rsid w:val="003A4715"/>
    <w:rsid w:val="003A6CA5"/>
    <w:rsid w:val="003B0620"/>
    <w:rsid w:val="003B211E"/>
    <w:rsid w:val="003B47C7"/>
    <w:rsid w:val="003B5D52"/>
    <w:rsid w:val="003C0796"/>
    <w:rsid w:val="003C0DED"/>
    <w:rsid w:val="003C1E64"/>
    <w:rsid w:val="003C3114"/>
    <w:rsid w:val="003D2567"/>
    <w:rsid w:val="003D2B08"/>
    <w:rsid w:val="003E1C96"/>
    <w:rsid w:val="003E2BE3"/>
    <w:rsid w:val="003E55D0"/>
    <w:rsid w:val="003E7385"/>
    <w:rsid w:val="003E7CB6"/>
    <w:rsid w:val="003F25CE"/>
    <w:rsid w:val="003F4122"/>
    <w:rsid w:val="003F4751"/>
    <w:rsid w:val="003F6B72"/>
    <w:rsid w:val="003F750B"/>
    <w:rsid w:val="0040004F"/>
    <w:rsid w:val="004020ED"/>
    <w:rsid w:val="00405BD2"/>
    <w:rsid w:val="004066F7"/>
    <w:rsid w:val="00416DB7"/>
    <w:rsid w:val="00420566"/>
    <w:rsid w:val="00420EC7"/>
    <w:rsid w:val="004216F2"/>
    <w:rsid w:val="00423949"/>
    <w:rsid w:val="004247AA"/>
    <w:rsid w:val="00431BC9"/>
    <w:rsid w:val="00432057"/>
    <w:rsid w:val="00432ACE"/>
    <w:rsid w:val="0043409E"/>
    <w:rsid w:val="00434B20"/>
    <w:rsid w:val="004354BA"/>
    <w:rsid w:val="004355F1"/>
    <w:rsid w:val="00442093"/>
    <w:rsid w:val="0044299F"/>
    <w:rsid w:val="00443232"/>
    <w:rsid w:val="004512D4"/>
    <w:rsid w:val="004542A5"/>
    <w:rsid w:val="00454F34"/>
    <w:rsid w:val="00456E4E"/>
    <w:rsid w:val="0046128E"/>
    <w:rsid w:val="004612BB"/>
    <w:rsid w:val="004620E7"/>
    <w:rsid w:val="00462FB6"/>
    <w:rsid w:val="0046440F"/>
    <w:rsid w:val="00464687"/>
    <w:rsid w:val="004651BB"/>
    <w:rsid w:val="004651F4"/>
    <w:rsid w:val="00465BD3"/>
    <w:rsid w:val="004706CA"/>
    <w:rsid w:val="00470F07"/>
    <w:rsid w:val="00471FE9"/>
    <w:rsid w:val="00475FB1"/>
    <w:rsid w:val="00476A7A"/>
    <w:rsid w:val="0047737A"/>
    <w:rsid w:val="00477BA0"/>
    <w:rsid w:val="004804AC"/>
    <w:rsid w:val="004861E4"/>
    <w:rsid w:val="00490F69"/>
    <w:rsid w:val="00491B95"/>
    <w:rsid w:val="00494305"/>
    <w:rsid w:val="0049792F"/>
    <w:rsid w:val="004A36F0"/>
    <w:rsid w:val="004B048C"/>
    <w:rsid w:val="004B6353"/>
    <w:rsid w:val="004B73B0"/>
    <w:rsid w:val="004C2648"/>
    <w:rsid w:val="004C4312"/>
    <w:rsid w:val="004C5878"/>
    <w:rsid w:val="004C5C6D"/>
    <w:rsid w:val="004C7D2F"/>
    <w:rsid w:val="004D1AEC"/>
    <w:rsid w:val="004D2D3C"/>
    <w:rsid w:val="004D4B6E"/>
    <w:rsid w:val="004D6C66"/>
    <w:rsid w:val="004D7BBA"/>
    <w:rsid w:val="004E0B1E"/>
    <w:rsid w:val="004E3A7B"/>
    <w:rsid w:val="004E504D"/>
    <w:rsid w:val="004F088B"/>
    <w:rsid w:val="004F5C0D"/>
    <w:rsid w:val="00502297"/>
    <w:rsid w:val="00502A3B"/>
    <w:rsid w:val="00502E73"/>
    <w:rsid w:val="00503736"/>
    <w:rsid w:val="00504BCC"/>
    <w:rsid w:val="00506897"/>
    <w:rsid w:val="00510D55"/>
    <w:rsid w:val="00511FD3"/>
    <w:rsid w:val="00512246"/>
    <w:rsid w:val="00513858"/>
    <w:rsid w:val="00515475"/>
    <w:rsid w:val="005154F2"/>
    <w:rsid w:val="00515D33"/>
    <w:rsid w:val="005169A9"/>
    <w:rsid w:val="005245B3"/>
    <w:rsid w:val="00525DF9"/>
    <w:rsid w:val="0052796E"/>
    <w:rsid w:val="0053122D"/>
    <w:rsid w:val="00531887"/>
    <w:rsid w:val="005331B9"/>
    <w:rsid w:val="0053535E"/>
    <w:rsid w:val="00540311"/>
    <w:rsid w:val="00542405"/>
    <w:rsid w:val="0054602C"/>
    <w:rsid w:val="00547E22"/>
    <w:rsid w:val="0055167D"/>
    <w:rsid w:val="00553A1B"/>
    <w:rsid w:val="00553C4F"/>
    <w:rsid w:val="00554549"/>
    <w:rsid w:val="0055691C"/>
    <w:rsid w:val="0056046C"/>
    <w:rsid w:val="00560B5F"/>
    <w:rsid w:val="00560F60"/>
    <w:rsid w:val="0056117A"/>
    <w:rsid w:val="00563A7B"/>
    <w:rsid w:val="00563CD9"/>
    <w:rsid w:val="00563DDD"/>
    <w:rsid w:val="0056535B"/>
    <w:rsid w:val="00565E6B"/>
    <w:rsid w:val="005720B5"/>
    <w:rsid w:val="005722BB"/>
    <w:rsid w:val="005728FB"/>
    <w:rsid w:val="00573130"/>
    <w:rsid w:val="005761EF"/>
    <w:rsid w:val="00584D22"/>
    <w:rsid w:val="00585025"/>
    <w:rsid w:val="00585F2F"/>
    <w:rsid w:val="0058641D"/>
    <w:rsid w:val="00587C59"/>
    <w:rsid w:val="00590704"/>
    <w:rsid w:val="00593B40"/>
    <w:rsid w:val="00594AC9"/>
    <w:rsid w:val="00594ACE"/>
    <w:rsid w:val="005972FD"/>
    <w:rsid w:val="005A0FBE"/>
    <w:rsid w:val="005A1C27"/>
    <w:rsid w:val="005A29C1"/>
    <w:rsid w:val="005A3338"/>
    <w:rsid w:val="005A35AE"/>
    <w:rsid w:val="005A6439"/>
    <w:rsid w:val="005A6E81"/>
    <w:rsid w:val="005A776E"/>
    <w:rsid w:val="005B1611"/>
    <w:rsid w:val="005B3926"/>
    <w:rsid w:val="005B3E61"/>
    <w:rsid w:val="005B43BF"/>
    <w:rsid w:val="005B5F79"/>
    <w:rsid w:val="005B6C00"/>
    <w:rsid w:val="005B72A2"/>
    <w:rsid w:val="005C21A9"/>
    <w:rsid w:val="005C3087"/>
    <w:rsid w:val="005C4E18"/>
    <w:rsid w:val="005C4F93"/>
    <w:rsid w:val="005C5D1F"/>
    <w:rsid w:val="005C7405"/>
    <w:rsid w:val="005D11B5"/>
    <w:rsid w:val="005D633A"/>
    <w:rsid w:val="005D6CF7"/>
    <w:rsid w:val="005E3E09"/>
    <w:rsid w:val="005E7DAE"/>
    <w:rsid w:val="005F38B9"/>
    <w:rsid w:val="005F4E3E"/>
    <w:rsid w:val="005F550D"/>
    <w:rsid w:val="005F5E02"/>
    <w:rsid w:val="005F6086"/>
    <w:rsid w:val="0060081B"/>
    <w:rsid w:val="00600D62"/>
    <w:rsid w:val="00601044"/>
    <w:rsid w:val="00601438"/>
    <w:rsid w:val="00602025"/>
    <w:rsid w:val="00602123"/>
    <w:rsid w:val="00606057"/>
    <w:rsid w:val="00607979"/>
    <w:rsid w:val="00610D06"/>
    <w:rsid w:val="0061100F"/>
    <w:rsid w:val="00613D45"/>
    <w:rsid w:val="006140A5"/>
    <w:rsid w:val="0061558B"/>
    <w:rsid w:val="00620D06"/>
    <w:rsid w:val="00621167"/>
    <w:rsid w:val="00621B6C"/>
    <w:rsid w:val="00621BEF"/>
    <w:rsid w:val="00621E24"/>
    <w:rsid w:val="00622544"/>
    <w:rsid w:val="00624056"/>
    <w:rsid w:val="006247E1"/>
    <w:rsid w:val="006248BF"/>
    <w:rsid w:val="00625E2A"/>
    <w:rsid w:val="006300C4"/>
    <w:rsid w:val="0063089D"/>
    <w:rsid w:val="00634D56"/>
    <w:rsid w:val="0064183D"/>
    <w:rsid w:val="00642890"/>
    <w:rsid w:val="0064299D"/>
    <w:rsid w:val="00644234"/>
    <w:rsid w:val="00646433"/>
    <w:rsid w:val="00646769"/>
    <w:rsid w:val="0064713E"/>
    <w:rsid w:val="00650BB2"/>
    <w:rsid w:val="0065219D"/>
    <w:rsid w:val="00654A44"/>
    <w:rsid w:val="00656B1D"/>
    <w:rsid w:val="00660CB2"/>
    <w:rsid w:val="00663FC4"/>
    <w:rsid w:val="00664C34"/>
    <w:rsid w:val="00665DA6"/>
    <w:rsid w:val="00671A6E"/>
    <w:rsid w:val="00673C7D"/>
    <w:rsid w:val="0067472D"/>
    <w:rsid w:val="0068087E"/>
    <w:rsid w:val="00680E91"/>
    <w:rsid w:val="006825EE"/>
    <w:rsid w:val="00684F5E"/>
    <w:rsid w:val="00685901"/>
    <w:rsid w:val="00685BB3"/>
    <w:rsid w:val="00686931"/>
    <w:rsid w:val="00687239"/>
    <w:rsid w:val="006877AD"/>
    <w:rsid w:val="00687A7A"/>
    <w:rsid w:val="006910F7"/>
    <w:rsid w:val="006915F7"/>
    <w:rsid w:val="006930A6"/>
    <w:rsid w:val="006965BB"/>
    <w:rsid w:val="006A385F"/>
    <w:rsid w:val="006A3C2B"/>
    <w:rsid w:val="006A4042"/>
    <w:rsid w:val="006A513D"/>
    <w:rsid w:val="006A6436"/>
    <w:rsid w:val="006A7DB5"/>
    <w:rsid w:val="006B2728"/>
    <w:rsid w:val="006B3D1E"/>
    <w:rsid w:val="006B4C41"/>
    <w:rsid w:val="006B4DA4"/>
    <w:rsid w:val="006C11C6"/>
    <w:rsid w:val="006C18A9"/>
    <w:rsid w:val="006C1B8D"/>
    <w:rsid w:val="006C6C26"/>
    <w:rsid w:val="006D0957"/>
    <w:rsid w:val="006D0C12"/>
    <w:rsid w:val="006D3586"/>
    <w:rsid w:val="006D5470"/>
    <w:rsid w:val="006D6EB2"/>
    <w:rsid w:val="006E119C"/>
    <w:rsid w:val="006E17DA"/>
    <w:rsid w:val="006E1DEE"/>
    <w:rsid w:val="006E200F"/>
    <w:rsid w:val="006E3D16"/>
    <w:rsid w:val="006E4D80"/>
    <w:rsid w:val="006E5499"/>
    <w:rsid w:val="006E6746"/>
    <w:rsid w:val="006E7070"/>
    <w:rsid w:val="006E7D86"/>
    <w:rsid w:val="006F23FB"/>
    <w:rsid w:val="006F33D1"/>
    <w:rsid w:val="006F5030"/>
    <w:rsid w:val="0070094D"/>
    <w:rsid w:val="00703D8C"/>
    <w:rsid w:val="00705A4A"/>
    <w:rsid w:val="00706215"/>
    <w:rsid w:val="00707AFF"/>
    <w:rsid w:val="00711D1E"/>
    <w:rsid w:val="00711D72"/>
    <w:rsid w:val="00712C2D"/>
    <w:rsid w:val="00716756"/>
    <w:rsid w:val="00722BA9"/>
    <w:rsid w:val="0072510D"/>
    <w:rsid w:val="0072604B"/>
    <w:rsid w:val="00726269"/>
    <w:rsid w:val="00726A1E"/>
    <w:rsid w:val="00737DC8"/>
    <w:rsid w:val="007426D3"/>
    <w:rsid w:val="007434A5"/>
    <w:rsid w:val="007437A0"/>
    <w:rsid w:val="007479F5"/>
    <w:rsid w:val="007501E9"/>
    <w:rsid w:val="00750EAF"/>
    <w:rsid w:val="00751637"/>
    <w:rsid w:val="00751C17"/>
    <w:rsid w:val="00752B97"/>
    <w:rsid w:val="007532C9"/>
    <w:rsid w:val="00753D21"/>
    <w:rsid w:val="00753EF2"/>
    <w:rsid w:val="007553AA"/>
    <w:rsid w:val="007574FD"/>
    <w:rsid w:val="007601B3"/>
    <w:rsid w:val="0076214F"/>
    <w:rsid w:val="00762C5E"/>
    <w:rsid w:val="00763985"/>
    <w:rsid w:val="0076533D"/>
    <w:rsid w:val="00765451"/>
    <w:rsid w:val="007735F9"/>
    <w:rsid w:val="0078202E"/>
    <w:rsid w:val="0078287A"/>
    <w:rsid w:val="0078440D"/>
    <w:rsid w:val="00785FCD"/>
    <w:rsid w:val="00792838"/>
    <w:rsid w:val="00793AC7"/>
    <w:rsid w:val="0079740F"/>
    <w:rsid w:val="007A05FD"/>
    <w:rsid w:val="007A450B"/>
    <w:rsid w:val="007A4D1B"/>
    <w:rsid w:val="007A4F5B"/>
    <w:rsid w:val="007B09A9"/>
    <w:rsid w:val="007B16B0"/>
    <w:rsid w:val="007B285A"/>
    <w:rsid w:val="007B2C51"/>
    <w:rsid w:val="007B42A7"/>
    <w:rsid w:val="007B4468"/>
    <w:rsid w:val="007B5016"/>
    <w:rsid w:val="007C137F"/>
    <w:rsid w:val="007C1E3C"/>
    <w:rsid w:val="007C4283"/>
    <w:rsid w:val="007C4605"/>
    <w:rsid w:val="007C5FAA"/>
    <w:rsid w:val="007C7D22"/>
    <w:rsid w:val="007D05B8"/>
    <w:rsid w:val="007D13A3"/>
    <w:rsid w:val="007D2BA8"/>
    <w:rsid w:val="007D32D1"/>
    <w:rsid w:val="007D4723"/>
    <w:rsid w:val="007D4CC3"/>
    <w:rsid w:val="007D5912"/>
    <w:rsid w:val="007D6537"/>
    <w:rsid w:val="007D6B28"/>
    <w:rsid w:val="007E3C72"/>
    <w:rsid w:val="007E761D"/>
    <w:rsid w:val="007E7DF0"/>
    <w:rsid w:val="007E7E3C"/>
    <w:rsid w:val="007F0357"/>
    <w:rsid w:val="007F1252"/>
    <w:rsid w:val="007F21ED"/>
    <w:rsid w:val="007F438F"/>
    <w:rsid w:val="007F63BF"/>
    <w:rsid w:val="007F6418"/>
    <w:rsid w:val="007F7B15"/>
    <w:rsid w:val="00801969"/>
    <w:rsid w:val="00804F2F"/>
    <w:rsid w:val="00805E2B"/>
    <w:rsid w:val="00810315"/>
    <w:rsid w:val="00811D91"/>
    <w:rsid w:val="0081208C"/>
    <w:rsid w:val="0081332F"/>
    <w:rsid w:val="008142B0"/>
    <w:rsid w:val="0081504C"/>
    <w:rsid w:val="00816515"/>
    <w:rsid w:val="00817003"/>
    <w:rsid w:val="00821F11"/>
    <w:rsid w:val="00822859"/>
    <w:rsid w:val="00822EE6"/>
    <w:rsid w:val="00824E5D"/>
    <w:rsid w:val="008303C8"/>
    <w:rsid w:val="00831A77"/>
    <w:rsid w:val="008320A9"/>
    <w:rsid w:val="00832C39"/>
    <w:rsid w:val="00836A86"/>
    <w:rsid w:val="00837564"/>
    <w:rsid w:val="00837D14"/>
    <w:rsid w:val="008474CC"/>
    <w:rsid w:val="0084763D"/>
    <w:rsid w:val="008506B1"/>
    <w:rsid w:val="00850E0A"/>
    <w:rsid w:val="0085201A"/>
    <w:rsid w:val="00852AAC"/>
    <w:rsid w:val="008540EE"/>
    <w:rsid w:val="00854CE7"/>
    <w:rsid w:val="00854E0C"/>
    <w:rsid w:val="00855C05"/>
    <w:rsid w:val="00855D23"/>
    <w:rsid w:val="00856EEF"/>
    <w:rsid w:val="00870B37"/>
    <w:rsid w:val="00875637"/>
    <w:rsid w:val="00882201"/>
    <w:rsid w:val="008823A3"/>
    <w:rsid w:val="00883B66"/>
    <w:rsid w:val="00884339"/>
    <w:rsid w:val="0088730D"/>
    <w:rsid w:val="0089094A"/>
    <w:rsid w:val="008915B7"/>
    <w:rsid w:val="00892048"/>
    <w:rsid w:val="00892ADB"/>
    <w:rsid w:val="00893979"/>
    <w:rsid w:val="008A0585"/>
    <w:rsid w:val="008A0B2A"/>
    <w:rsid w:val="008A11C9"/>
    <w:rsid w:val="008A234B"/>
    <w:rsid w:val="008A4CD6"/>
    <w:rsid w:val="008A507B"/>
    <w:rsid w:val="008A5853"/>
    <w:rsid w:val="008A6B3B"/>
    <w:rsid w:val="008A7C66"/>
    <w:rsid w:val="008B0CDA"/>
    <w:rsid w:val="008B2B78"/>
    <w:rsid w:val="008B35A7"/>
    <w:rsid w:val="008B4E97"/>
    <w:rsid w:val="008B6A12"/>
    <w:rsid w:val="008B7291"/>
    <w:rsid w:val="008B7DF5"/>
    <w:rsid w:val="008C0A33"/>
    <w:rsid w:val="008C3CD7"/>
    <w:rsid w:val="008D002B"/>
    <w:rsid w:val="008D00BA"/>
    <w:rsid w:val="008D0D07"/>
    <w:rsid w:val="008D193A"/>
    <w:rsid w:val="008D21DC"/>
    <w:rsid w:val="008D5BAC"/>
    <w:rsid w:val="008D72F7"/>
    <w:rsid w:val="008D74A2"/>
    <w:rsid w:val="008E2114"/>
    <w:rsid w:val="008E244D"/>
    <w:rsid w:val="008E491A"/>
    <w:rsid w:val="008E5128"/>
    <w:rsid w:val="008E5DDE"/>
    <w:rsid w:val="008E79E6"/>
    <w:rsid w:val="008F3DAE"/>
    <w:rsid w:val="008F55EE"/>
    <w:rsid w:val="008F5649"/>
    <w:rsid w:val="00900B0C"/>
    <w:rsid w:val="00906911"/>
    <w:rsid w:val="0090758E"/>
    <w:rsid w:val="00910558"/>
    <w:rsid w:val="00910C16"/>
    <w:rsid w:val="00913748"/>
    <w:rsid w:val="00914142"/>
    <w:rsid w:val="0091451C"/>
    <w:rsid w:val="00917115"/>
    <w:rsid w:val="00917B50"/>
    <w:rsid w:val="009204B8"/>
    <w:rsid w:val="009227D3"/>
    <w:rsid w:val="00923971"/>
    <w:rsid w:val="00923EE4"/>
    <w:rsid w:val="00926329"/>
    <w:rsid w:val="00926AD3"/>
    <w:rsid w:val="009273AF"/>
    <w:rsid w:val="009331B8"/>
    <w:rsid w:val="00933DFE"/>
    <w:rsid w:val="00935D24"/>
    <w:rsid w:val="00937686"/>
    <w:rsid w:val="0094012F"/>
    <w:rsid w:val="009405DF"/>
    <w:rsid w:val="00941807"/>
    <w:rsid w:val="00945130"/>
    <w:rsid w:val="0094531E"/>
    <w:rsid w:val="00947EBF"/>
    <w:rsid w:val="0095279D"/>
    <w:rsid w:val="0095345B"/>
    <w:rsid w:val="00954D79"/>
    <w:rsid w:val="009561CD"/>
    <w:rsid w:val="0095715D"/>
    <w:rsid w:val="00965C0E"/>
    <w:rsid w:val="00967189"/>
    <w:rsid w:val="00973959"/>
    <w:rsid w:val="00974383"/>
    <w:rsid w:val="00974DA9"/>
    <w:rsid w:val="009767F7"/>
    <w:rsid w:val="00982BB5"/>
    <w:rsid w:val="00983608"/>
    <w:rsid w:val="0098465A"/>
    <w:rsid w:val="00987097"/>
    <w:rsid w:val="00990421"/>
    <w:rsid w:val="00990808"/>
    <w:rsid w:val="00990BE5"/>
    <w:rsid w:val="00990F20"/>
    <w:rsid w:val="009934A7"/>
    <w:rsid w:val="009A027A"/>
    <w:rsid w:val="009A2C10"/>
    <w:rsid w:val="009A41ED"/>
    <w:rsid w:val="009A607B"/>
    <w:rsid w:val="009A6E20"/>
    <w:rsid w:val="009B2AE7"/>
    <w:rsid w:val="009B40FA"/>
    <w:rsid w:val="009B46BE"/>
    <w:rsid w:val="009B50BC"/>
    <w:rsid w:val="009B5B08"/>
    <w:rsid w:val="009C14D5"/>
    <w:rsid w:val="009C30AE"/>
    <w:rsid w:val="009C4D0A"/>
    <w:rsid w:val="009C77F7"/>
    <w:rsid w:val="009C7961"/>
    <w:rsid w:val="009D00AE"/>
    <w:rsid w:val="009D2DC3"/>
    <w:rsid w:val="009D457F"/>
    <w:rsid w:val="009D45BA"/>
    <w:rsid w:val="009D5269"/>
    <w:rsid w:val="009D598F"/>
    <w:rsid w:val="009D6F0F"/>
    <w:rsid w:val="009E18C8"/>
    <w:rsid w:val="009E446E"/>
    <w:rsid w:val="009E7E16"/>
    <w:rsid w:val="009F066A"/>
    <w:rsid w:val="009F4394"/>
    <w:rsid w:val="009F66CE"/>
    <w:rsid w:val="009F6E0E"/>
    <w:rsid w:val="009F7984"/>
    <w:rsid w:val="009F7F47"/>
    <w:rsid w:val="00A00DF2"/>
    <w:rsid w:val="00A01BC6"/>
    <w:rsid w:val="00A02027"/>
    <w:rsid w:val="00A0292C"/>
    <w:rsid w:val="00A03839"/>
    <w:rsid w:val="00A03CA9"/>
    <w:rsid w:val="00A0416B"/>
    <w:rsid w:val="00A04DDC"/>
    <w:rsid w:val="00A04F29"/>
    <w:rsid w:val="00A0564E"/>
    <w:rsid w:val="00A07651"/>
    <w:rsid w:val="00A115E3"/>
    <w:rsid w:val="00A1184A"/>
    <w:rsid w:val="00A14A74"/>
    <w:rsid w:val="00A14A81"/>
    <w:rsid w:val="00A1508F"/>
    <w:rsid w:val="00A1662E"/>
    <w:rsid w:val="00A1672C"/>
    <w:rsid w:val="00A1764C"/>
    <w:rsid w:val="00A21573"/>
    <w:rsid w:val="00A23C65"/>
    <w:rsid w:val="00A24998"/>
    <w:rsid w:val="00A27630"/>
    <w:rsid w:val="00A30A90"/>
    <w:rsid w:val="00A37A59"/>
    <w:rsid w:val="00A41C55"/>
    <w:rsid w:val="00A44A1F"/>
    <w:rsid w:val="00A44ADC"/>
    <w:rsid w:val="00A460BF"/>
    <w:rsid w:val="00A502E3"/>
    <w:rsid w:val="00A516DF"/>
    <w:rsid w:val="00A51ED0"/>
    <w:rsid w:val="00A534B2"/>
    <w:rsid w:val="00A55718"/>
    <w:rsid w:val="00A62152"/>
    <w:rsid w:val="00A647ED"/>
    <w:rsid w:val="00A64AAA"/>
    <w:rsid w:val="00A64AFB"/>
    <w:rsid w:val="00A70BEA"/>
    <w:rsid w:val="00A770CA"/>
    <w:rsid w:val="00A778B2"/>
    <w:rsid w:val="00A80E9A"/>
    <w:rsid w:val="00A81E5E"/>
    <w:rsid w:val="00A83FCB"/>
    <w:rsid w:val="00A84522"/>
    <w:rsid w:val="00A87796"/>
    <w:rsid w:val="00A90D30"/>
    <w:rsid w:val="00A935A0"/>
    <w:rsid w:val="00A93C74"/>
    <w:rsid w:val="00A94A51"/>
    <w:rsid w:val="00AA0533"/>
    <w:rsid w:val="00AA22EC"/>
    <w:rsid w:val="00AA33B4"/>
    <w:rsid w:val="00AA36D5"/>
    <w:rsid w:val="00AA4F9A"/>
    <w:rsid w:val="00AA6FA6"/>
    <w:rsid w:val="00AB11F3"/>
    <w:rsid w:val="00AB1E9A"/>
    <w:rsid w:val="00AB2070"/>
    <w:rsid w:val="00AB38C3"/>
    <w:rsid w:val="00AB3B79"/>
    <w:rsid w:val="00AB614E"/>
    <w:rsid w:val="00AB6937"/>
    <w:rsid w:val="00AC2C60"/>
    <w:rsid w:val="00AC383F"/>
    <w:rsid w:val="00AC3F71"/>
    <w:rsid w:val="00AC54B3"/>
    <w:rsid w:val="00AC5ADE"/>
    <w:rsid w:val="00AC663E"/>
    <w:rsid w:val="00AD21A5"/>
    <w:rsid w:val="00AD241B"/>
    <w:rsid w:val="00AD2BF4"/>
    <w:rsid w:val="00AD3735"/>
    <w:rsid w:val="00AD3C4F"/>
    <w:rsid w:val="00AE07DA"/>
    <w:rsid w:val="00AE252F"/>
    <w:rsid w:val="00AE2E8F"/>
    <w:rsid w:val="00AE6088"/>
    <w:rsid w:val="00AE6823"/>
    <w:rsid w:val="00AE7358"/>
    <w:rsid w:val="00AF1C16"/>
    <w:rsid w:val="00AF2D0C"/>
    <w:rsid w:val="00AF3DA5"/>
    <w:rsid w:val="00AF44F3"/>
    <w:rsid w:val="00AF4B88"/>
    <w:rsid w:val="00AF754D"/>
    <w:rsid w:val="00B002CC"/>
    <w:rsid w:val="00B00FB7"/>
    <w:rsid w:val="00B0409D"/>
    <w:rsid w:val="00B04A8D"/>
    <w:rsid w:val="00B06F4F"/>
    <w:rsid w:val="00B07118"/>
    <w:rsid w:val="00B07295"/>
    <w:rsid w:val="00B07736"/>
    <w:rsid w:val="00B10F4A"/>
    <w:rsid w:val="00B117E1"/>
    <w:rsid w:val="00B12F2B"/>
    <w:rsid w:val="00B13116"/>
    <w:rsid w:val="00B15716"/>
    <w:rsid w:val="00B15E66"/>
    <w:rsid w:val="00B1646D"/>
    <w:rsid w:val="00B17CD8"/>
    <w:rsid w:val="00B21FD0"/>
    <w:rsid w:val="00B2251F"/>
    <w:rsid w:val="00B246B2"/>
    <w:rsid w:val="00B24F3E"/>
    <w:rsid w:val="00B25EF1"/>
    <w:rsid w:val="00B278BC"/>
    <w:rsid w:val="00B27BDE"/>
    <w:rsid w:val="00B27F5D"/>
    <w:rsid w:val="00B314CF"/>
    <w:rsid w:val="00B32D51"/>
    <w:rsid w:val="00B32DA0"/>
    <w:rsid w:val="00B33297"/>
    <w:rsid w:val="00B33CA5"/>
    <w:rsid w:val="00B34F2F"/>
    <w:rsid w:val="00B364E3"/>
    <w:rsid w:val="00B37155"/>
    <w:rsid w:val="00B40842"/>
    <w:rsid w:val="00B40E2F"/>
    <w:rsid w:val="00B411EC"/>
    <w:rsid w:val="00B41914"/>
    <w:rsid w:val="00B4262F"/>
    <w:rsid w:val="00B430D1"/>
    <w:rsid w:val="00B43C1F"/>
    <w:rsid w:val="00B43F90"/>
    <w:rsid w:val="00B44E5E"/>
    <w:rsid w:val="00B45268"/>
    <w:rsid w:val="00B466C9"/>
    <w:rsid w:val="00B46835"/>
    <w:rsid w:val="00B506BB"/>
    <w:rsid w:val="00B53E52"/>
    <w:rsid w:val="00B54F9B"/>
    <w:rsid w:val="00B55140"/>
    <w:rsid w:val="00B557C3"/>
    <w:rsid w:val="00B558F3"/>
    <w:rsid w:val="00B56DF6"/>
    <w:rsid w:val="00B602F5"/>
    <w:rsid w:val="00B60456"/>
    <w:rsid w:val="00B640CB"/>
    <w:rsid w:val="00B64ECD"/>
    <w:rsid w:val="00B655B2"/>
    <w:rsid w:val="00B65F79"/>
    <w:rsid w:val="00B708FD"/>
    <w:rsid w:val="00B738C6"/>
    <w:rsid w:val="00B74EBF"/>
    <w:rsid w:val="00B76CCB"/>
    <w:rsid w:val="00B7787B"/>
    <w:rsid w:val="00B820EB"/>
    <w:rsid w:val="00B85FA1"/>
    <w:rsid w:val="00B8666D"/>
    <w:rsid w:val="00B86F03"/>
    <w:rsid w:val="00B9163F"/>
    <w:rsid w:val="00B94730"/>
    <w:rsid w:val="00B94D03"/>
    <w:rsid w:val="00B967AB"/>
    <w:rsid w:val="00B96A60"/>
    <w:rsid w:val="00B97EEE"/>
    <w:rsid w:val="00BA4F35"/>
    <w:rsid w:val="00BB050C"/>
    <w:rsid w:val="00BB2670"/>
    <w:rsid w:val="00BB4F34"/>
    <w:rsid w:val="00BB541F"/>
    <w:rsid w:val="00BB5BEF"/>
    <w:rsid w:val="00BB77F2"/>
    <w:rsid w:val="00BD1188"/>
    <w:rsid w:val="00BD24B4"/>
    <w:rsid w:val="00BD4CBC"/>
    <w:rsid w:val="00BD5491"/>
    <w:rsid w:val="00BD618C"/>
    <w:rsid w:val="00BD6C1B"/>
    <w:rsid w:val="00BD7338"/>
    <w:rsid w:val="00BD7982"/>
    <w:rsid w:val="00BD7AAC"/>
    <w:rsid w:val="00BE2739"/>
    <w:rsid w:val="00BE3250"/>
    <w:rsid w:val="00BE3F1B"/>
    <w:rsid w:val="00BE4ACC"/>
    <w:rsid w:val="00BE4F34"/>
    <w:rsid w:val="00BE6277"/>
    <w:rsid w:val="00BE66B6"/>
    <w:rsid w:val="00BF0758"/>
    <w:rsid w:val="00BF32A0"/>
    <w:rsid w:val="00BF39FF"/>
    <w:rsid w:val="00BF4F6A"/>
    <w:rsid w:val="00BF7333"/>
    <w:rsid w:val="00C00DD4"/>
    <w:rsid w:val="00C00F7A"/>
    <w:rsid w:val="00C02A17"/>
    <w:rsid w:val="00C0477E"/>
    <w:rsid w:val="00C0730B"/>
    <w:rsid w:val="00C07B6A"/>
    <w:rsid w:val="00C111DA"/>
    <w:rsid w:val="00C1172C"/>
    <w:rsid w:val="00C11914"/>
    <w:rsid w:val="00C14006"/>
    <w:rsid w:val="00C16C8A"/>
    <w:rsid w:val="00C17050"/>
    <w:rsid w:val="00C17D4B"/>
    <w:rsid w:val="00C211C3"/>
    <w:rsid w:val="00C21201"/>
    <w:rsid w:val="00C21FE7"/>
    <w:rsid w:val="00C247A3"/>
    <w:rsid w:val="00C258B1"/>
    <w:rsid w:val="00C26924"/>
    <w:rsid w:val="00C32E6C"/>
    <w:rsid w:val="00C33839"/>
    <w:rsid w:val="00C368A3"/>
    <w:rsid w:val="00C378B9"/>
    <w:rsid w:val="00C379D6"/>
    <w:rsid w:val="00C40CEF"/>
    <w:rsid w:val="00C439E6"/>
    <w:rsid w:val="00C446AB"/>
    <w:rsid w:val="00C45D6D"/>
    <w:rsid w:val="00C50383"/>
    <w:rsid w:val="00C533E7"/>
    <w:rsid w:val="00C53E7E"/>
    <w:rsid w:val="00C5719A"/>
    <w:rsid w:val="00C62E31"/>
    <w:rsid w:val="00C6307B"/>
    <w:rsid w:val="00C673BC"/>
    <w:rsid w:val="00C67B33"/>
    <w:rsid w:val="00C67B3F"/>
    <w:rsid w:val="00C720A5"/>
    <w:rsid w:val="00C7264E"/>
    <w:rsid w:val="00C75026"/>
    <w:rsid w:val="00C75727"/>
    <w:rsid w:val="00C807B0"/>
    <w:rsid w:val="00C80959"/>
    <w:rsid w:val="00C81C1E"/>
    <w:rsid w:val="00C8487D"/>
    <w:rsid w:val="00C856F0"/>
    <w:rsid w:val="00C85CC3"/>
    <w:rsid w:val="00C87402"/>
    <w:rsid w:val="00C90095"/>
    <w:rsid w:val="00C91A66"/>
    <w:rsid w:val="00C91AC8"/>
    <w:rsid w:val="00C920E1"/>
    <w:rsid w:val="00C94818"/>
    <w:rsid w:val="00C9481E"/>
    <w:rsid w:val="00C95485"/>
    <w:rsid w:val="00C97D3F"/>
    <w:rsid w:val="00C97EA0"/>
    <w:rsid w:val="00CB1065"/>
    <w:rsid w:val="00CB2332"/>
    <w:rsid w:val="00CB257A"/>
    <w:rsid w:val="00CB2B7A"/>
    <w:rsid w:val="00CB39C7"/>
    <w:rsid w:val="00CB5B6D"/>
    <w:rsid w:val="00CC24A3"/>
    <w:rsid w:val="00CC5D91"/>
    <w:rsid w:val="00CD00F8"/>
    <w:rsid w:val="00CD04BC"/>
    <w:rsid w:val="00CD09D1"/>
    <w:rsid w:val="00CD0CD9"/>
    <w:rsid w:val="00CD4D05"/>
    <w:rsid w:val="00CD6F5B"/>
    <w:rsid w:val="00CD78CA"/>
    <w:rsid w:val="00CE0612"/>
    <w:rsid w:val="00CE0CB5"/>
    <w:rsid w:val="00CE1724"/>
    <w:rsid w:val="00CE2311"/>
    <w:rsid w:val="00CE43BC"/>
    <w:rsid w:val="00CE4734"/>
    <w:rsid w:val="00CE495D"/>
    <w:rsid w:val="00CE526A"/>
    <w:rsid w:val="00CE55D0"/>
    <w:rsid w:val="00CE66E4"/>
    <w:rsid w:val="00CE6991"/>
    <w:rsid w:val="00CF2E6E"/>
    <w:rsid w:val="00CF5C7A"/>
    <w:rsid w:val="00CF6D07"/>
    <w:rsid w:val="00D020C2"/>
    <w:rsid w:val="00D039F2"/>
    <w:rsid w:val="00D044F1"/>
    <w:rsid w:val="00D06F8F"/>
    <w:rsid w:val="00D119DF"/>
    <w:rsid w:val="00D145B6"/>
    <w:rsid w:val="00D209F0"/>
    <w:rsid w:val="00D20D05"/>
    <w:rsid w:val="00D211E6"/>
    <w:rsid w:val="00D231FA"/>
    <w:rsid w:val="00D23567"/>
    <w:rsid w:val="00D26CBF"/>
    <w:rsid w:val="00D27550"/>
    <w:rsid w:val="00D279C1"/>
    <w:rsid w:val="00D30871"/>
    <w:rsid w:val="00D3136B"/>
    <w:rsid w:val="00D31BA3"/>
    <w:rsid w:val="00D405B9"/>
    <w:rsid w:val="00D42B56"/>
    <w:rsid w:val="00D44869"/>
    <w:rsid w:val="00D451B5"/>
    <w:rsid w:val="00D45912"/>
    <w:rsid w:val="00D45CA2"/>
    <w:rsid w:val="00D50450"/>
    <w:rsid w:val="00D55A2A"/>
    <w:rsid w:val="00D57DF8"/>
    <w:rsid w:val="00D60F7F"/>
    <w:rsid w:val="00D61726"/>
    <w:rsid w:val="00D61FDA"/>
    <w:rsid w:val="00D62572"/>
    <w:rsid w:val="00D673DF"/>
    <w:rsid w:val="00D70F2A"/>
    <w:rsid w:val="00D7784A"/>
    <w:rsid w:val="00D834C2"/>
    <w:rsid w:val="00D87456"/>
    <w:rsid w:val="00D8745B"/>
    <w:rsid w:val="00D9010B"/>
    <w:rsid w:val="00D907C0"/>
    <w:rsid w:val="00D90E94"/>
    <w:rsid w:val="00D93193"/>
    <w:rsid w:val="00D9471E"/>
    <w:rsid w:val="00D975F8"/>
    <w:rsid w:val="00DA44B6"/>
    <w:rsid w:val="00DA4754"/>
    <w:rsid w:val="00DB18A4"/>
    <w:rsid w:val="00DB3B0E"/>
    <w:rsid w:val="00DB5675"/>
    <w:rsid w:val="00DB57AC"/>
    <w:rsid w:val="00DC2942"/>
    <w:rsid w:val="00DC2C4E"/>
    <w:rsid w:val="00DC39BA"/>
    <w:rsid w:val="00DD1A29"/>
    <w:rsid w:val="00DD1B40"/>
    <w:rsid w:val="00DD1E0B"/>
    <w:rsid w:val="00DD32A3"/>
    <w:rsid w:val="00DD363D"/>
    <w:rsid w:val="00DD3EBB"/>
    <w:rsid w:val="00DD54C0"/>
    <w:rsid w:val="00DD578E"/>
    <w:rsid w:val="00DD749C"/>
    <w:rsid w:val="00DD7A27"/>
    <w:rsid w:val="00DE09A1"/>
    <w:rsid w:val="00DE0AAF"/>
    <w:rsid w:val="00DE6593"/>
    <w:rsid w:val="00DF0E49"/>
    <w:rsid w:val="00DF192D"/>
    <w:rsid w:val="00DF2366"/>
    <w:rsid w:val="00DF5D30"/>
    <w:rsid w:val="00E014D9"/>
    <w:rsid w:val="00E02408"/>
    <w:rsid w:val="00E02882"/>
    <w:rsid w:val="00E0452A"/>
    <w:rsid w:val="00E05D24"/>
    <w:rsid w:val="00E065BA"/>
    <w:rsid w:val="00E06B6F"/>
    <w:rsid w:val="00E10E67"/>
    <w:rsid w:val="00E11061"/>
    <w:rsid w:val="00E13AB8"/>
    <w:rsid w:val="00E14091"/>
    <w:rsid w:val="00E20BB0"/>
    <w:rsid w:val="00E226FD"/>
    <w:rsid w:val="00E25C5C"/>
    <w:rsid w:val="00E25F96"/>
    <w:rsid w:val="00E3222E"/>
    <w:rsid w:val="00E3274C"/>
    <w:rsid w:val="00E372A6"/>
    <w:rsid w:val="00E37729"/>
    <w:rsid w:val="00E41E5B"/>
    <w:rsid w:val="00E43AA9"/>
    <w:rsid w:val="00E45ACA"/>
    <w:rsid w:val="00E46A1A"/>
    <w:rsid w:val="00E47052"/>
    <w:rsid w:val="00E47809"/>
    <w:rsid w:val="00E50004"/>
    <w:rsid w:val="00E50D27"/>
    <w:rsid w:val="00E50F29"/>
    <w:rsid w:val="00E51010"/>
    <w:rsid w:val="00E53245"/>
    <w:rsid w:val="00E55275"/>
    <w:rsid w:val="00E56882"/>
    <w:rsid w:val="00E56C8D"/>
    <w:rsid w:val="00E56E18"/>
    <w:rsid w:val="00E645A2"/>
    <w:rsid w:val="00E66856"/>
    <w:rsid w:val="00E66B69"/>
    <w:rsid w:val="00E66DDF"/>
    <w:rsid w:val="00E6755B"/>
    <w:rsid w:val="00E6769B"/>
    <w:rsid w:val="00E67A9E"/>
    <w:rsid w:val="00E70155"/>
    <w:rsid w:val="00E71157"/>
    <w:rsid w:val="00E71796"/>
    <w:rsid w:val="00E71AE4"/>
    <w:rsid w:val="00E74929"/>
    <w:rsid w:val="00E7566A"/>
    <w:rsid w:val="00E802DC"/>
    <w:rsid w:val="00E81736"/>
    <w:rsid w:val="00E845F8"/>
    <w:rsid w:val="00E8795E"/>
    <w:rsid w:val="00E925EC"/>
    <w:rsid w:val="00E93078"/>
    <w:rsid w:val="00E93660"/>
    <w:rsid w:val="00E97287"/>
    <w:rsid w:val="00EA25E6"/>
    <w:rsid w:val="00EA32BF"/>
    <w:rsid w:val="00EA3ADA"/>
    <w:rsid w:val="00EA5AE2"/>
    <w:rsid w:val="00EA5CB2"/>
    <w:rsid w:val="00EA638D"/>
    <w:rsid w:val="00EA6842"/>
    <w:rsid w:val="00EA7F08"/>
    <w:rsid w:val="00EB1DA9"/>
    <w:rsid w:val="00EB3202"/>
    <w:rsid w:val="00EB39BC"/>
    <w:rsid w:val="00EB5D6F"/>
    <w:rsid w:val="00EB5DC4"/>
    <w:rsid w:val="00EC0082"/>
    <w:rsid w:val="00EC07ED"/>
    <w:rsid w:val="00EC38BD"/>
    <w:rsid w:val="00EC4952"/>
    <w:rsid w:val="00EC5D30"/>
    <w:rsid w:val="00EC603A"/>
    <w:rsid w:val="00EC6068"/>
    <w:rsid w:val="00EC6D7D"/>
    <w:rsid w:val="00EC6E9D"/>
    <w:rsid w:val="00EC78F6"/>
    <w:rsid w:val="00ED2FA7"/>
    <w:rsid w:val="00ED36AA"/>
    <w:rsid w:val="00ED413E"/>
    <w:rsid w:val="00ED4956"/>
    <w:rsid w:val="00ED5E92"/>
    <w:rsid w:val="00ED6365"/>
    <w:rsid w:val="00ED7D8F"/>
    <w:rsid w:val="00EE0A96"/>
    <w:rsid w:val="00EE1123"/>
    <w:rsid w:val="00EE2B95"/>
    <w:rsid w:val="00EE2F58"/>
    <w:rsid w:val="00EE3A2A"/>
    <w:rsid w:val="00EE4FE6"/>
    <w:rsid w:val="00EE5FC6"/>
    <w:rsid w:val="00EE5FE6"/>
    <w:rsid w:val="00EE63C7"/>
    <w:rsid w:val="00EE644D"/>
    <w:rsid w:val="00EE7BC9"/>
    <w:rsid w:val="00EF25FE"/>
    <w:rsid w:val="00EF696A"/>
    <w:rsid w:val="00EF7701"/>
    <w:rsid w:val="00F01407"/>
    <w:rsid w:val="00F01C3C"/>
    <w:rsid w:val="00F03A7E"/>
    <w:rsid w:val="00F05378"/>
    <w:rsid w:val="00F06A76"/>
    <w:rsid w:val="00F127D6"/>
    <w:rsid w:val="00F1353C"/>
    <w:rsid w:val="00F13854"/>
    <w:rsid w:val="00F1582F"/>
    <w:rsid w:val="00F16B0B"/>
    <w:rsid w:val="00F215E7"/>
    <w:rsid w:val="00F22C2C"/>
    <w:rsid w:val="00F25D92"/>
    <w:rsid w:val="00F401E5"/>
    <w:rsid w:val="00F42826"/>
    <w:rsid w:val="00F432B6"/>
    <w:rsid w:val="00F452A1"/>
    <w:rsid w:val="00F46E30"/>
    <w:rsid w:val="00F5143F"/>
    <w:rsid w:val="00F53635"/>
    <w:rsid w:val="00F54C7C"/>
    <w:rsid w:val="00F54DB9"/>
    <w:rsid w:val="00F57A72"/>
    <w:rsid w:val="00F6251D"/>
    <w:rsid w:val="00F63E89"/>
    <w:rsid w:val="00F645AB"/>
    <w:rsid w:val="00F65C65"/>
    <w:rsid w:val="00F65E90"/>
    <w:rsid w:val="00F66253"/>
    <w:rsid w:val="00F7077D"/>
    <w:rsid w:val="00F70C4C"/>
    <w:rsid w:val="00F73F32"/>
    <w:rsid w:val="00F75E37"/>
    <w:rsid w:val="00F813D4"/>
    <w:rsid w:val="00F817E2"/>
    <w:rsid w:val="00F829D0"/>
    <w:rsid w:val="00F8525C"/>
    <w:rsid w:val="00F854FD"/>
    <w:rsid w:val="00F87168"/>
    <w:rsid w:val="00F87639"/>
    <w:rsid w:val="00FA1608"/>
    <w:rsid w:val="00FA1A11"/>
    <w:rsid w:val="00FA3D57"/>
    <w:rsid w:val="00FA6A0E"/>
    <w:rsid w:val="00FB0860"/>
    <w:rsid w:val="00FB0990"/>
    <w:rsid w:val="00FB1AEB"/>
    <w:rsid w:val="00FB2E59"/>
    <w:rsid w:val="00FB32C0"/>
    <w:rsid w:val="00FB38D4"/>
    <w:rsid w:val="00FB6512"/>
    <w:rsid w:val="00FB7018"/>
    <w:rsid w:val="00FC12E3"/>
    <w:rsid w:val="00FC5128"/>
    <w:rsid w:val="00FC5FAC"/>
    <w:rsid w:val="00FC7AA8"/>
    <w:rsid w:val="00FD26BB"/>
    <w:rsid w:val="00FD2CF1"/>
    <w:rsid w:val="00FD2E51"/>
    <w:rsid w:val="00FD3E0C"/>
    <w:rsid w:val="00FD46DE"/>
    <w:rsid w:val="00FD554E"/>
    <w:rsid w:val="00FD77CD"/>
    <w:rsid w:val="00FE15A5"/>
    <w:rsid w:val="00FE1EFC"/>
    <w:rsid w:val="00FE243A"/>
    <w:rsid w:val="00FE4D18"/>
    <w:rsid w:val="00FE572C"/>
    <w:rsid w:val="00FE61E9"/>
    <w:rsid w:val="00FE7108"/>
    <w:rsid w:val="00FF026C"/>
    <w:rsid w:val="00FF0D61"/>
    <w:rsid w:val="00FF4AD6"/>
    <w:rsid w:val="00FF5138"/>
    <w:rsid w:val="00FF5707"/>
    <w:rsid w:val="00FF641F"/>
    <w:rsid w:val="00FF7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BE7F7"/>
  <w15:docId w15:val="{ECA3A36B-0C08-4BB4-965B-299DE6C4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3AA9"/>
    <w:rPr>
      <w:rFonts w:ascii="Times New Roman" w:eastAsia="Times New Roman" w:hAnsi="Times New Roman"/>
      <w:sz w:val="24"/>
      <w:szCs w:val="24"/>
      <w:lang w:val="hr-HR" w:eastAsia="hr-HR"/>
    </w:rPr>
  </w:style>
  <w:style w:type="paragraph" w:styleId="Heading1">
    <w:name w:val="heading 1"/>
    <w:basedOn w:val="Normal"/>
    <w:link w:val="Heading1Char"/>
    <w:uiPriority w:val="9"/>
    <w:qFormat/>
    <w:rsid w:val="00071168"/>
    <w:pPr>
      <w:spacing w:before="100" w:beforeAutospacing="1" w:after="100" w:afterAutospacing="1"/>
      <w:outlineLvl w:val="0"/>
    </w:pPr>
    <w:rPr>
      <w:b/>
      <w:bCs/>
      <w:kern w:val="36"/>
      <w:sz w:val="48"/>
      <w:szCs w:val="48"/>
      <w:lang w:val="en-US" w:eastAsia="en-US"/>
    </w:rPr>
  </w:style>
  <w:style w:type="paragraph" w:styleId="Heading2">
    <w:name w:val="heading 2"/>
    <w:basedOn w:val="Normal"/>
    <w:next w:val="Normal"/>
    <w:link w:val="Heading2Char"/>
    <w:uiPriority w:val="9"/>
    <w:semiHidden/>
    <w:unhideWhenUsed/>
    <w:qFormat/>
    <w:rsid w:val="008823A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8823A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3AA9"/>
    <w:rPr>
      <w:rFonts w:ascii="Times New Roman" w:eastAsia="Times New Roman" w:hAnsi="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 uvlaka 3,  uvlaka 2,uvlaka 2,uvlaka 3"/>
    <w:basedOn w:val="Normal"/>
    <w:link w:val="BodyTextChar"/>
    <w:rsid w:val="00C97EA0"/>
    <w:pPr>
      <w:jc w:val="both"/>
    </w:pPr>
  </w:style>
  <w:style w:type="character" w:customStyle="1" w:styleId="BodyTextChar">
    <w:name w:val="Body Text Char"/>
    <w:aliases w:val=" uvlaka 3 Char,  uvlaka 2 Char,uvlaka 2 Char,uvlaka 3 Char"/>
    <w:link w:val="BodyText"/>
    <w:rsid w:val="00C97EA0"/>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DD363D"/>
    <w:pPr>
      <w:ind w:left="720"/>
      <w:contextualSpacing/>
    </w:pPr>
  </w:style>
  <w:style w:type="paragraph" w:styleId="Header">
    <w:name w:val="header"/>
    <w:basedOn w:val="Normal"/>
    <w:link w:val="HeaderChar"/>
    <w:uiPriority w:val="99"/>
    <w:semiHidden/>
    <w:unhideWhenUsed/>
    <w:rsid w:val="00DD363D"/>
    <w:pPr>
      <w:tabs>
        <w:tab w:val="center" w:pos="4536"/>
        <w:tab w:val="right" w:pos="9072"/>
      </w:tabs>
    </w:pPr>
  </w:style>
  <w:style w:type="character" w:customStyle="1" w:styleId="HeaderChar">
    <w:name w:val="Header Char"/>
    <w:link w:val="Header"/>
    <w:uiPriority w:val="99"/>
    <w:semiHidden/>
    <w:rsid w:val="00DD363D"/>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DD363D"/>
    <w:pPr>
      <w:tabs>
        <w:tab w:val="center" w:pos="4536"/>
        <w:tab w:val="right" w:pos="9072"/>
      </w:tabs>
    </w:pPr>
  </w:style>
  <w:style w:type="character" w:customStyle="1" w:styleId="FooterChar">
    <w:name w:val="Footer Char"/>
    <w:link w:val="Footer"/>
    <w:uiPriority w:val="99"/>
    <w:rsid w:val="00DD363D"/>
    <w:rPr>
      <w:rFonts w:ascii="Times New Roman" w:eastAsia="Times New Roman" w:hAnsi="Times New Roman" w:cs="Times New Roman"/>
      <w:sz w:val="24"/>
      <w:szCs w:val="24"/>
      <w:lang w:eastAsia="hr-HR"/>
    </w:rPr>
  </w:style>
  <w:style w:type="paragraph" w:customStyle="1" w:styleId="Tijeloteksta31">
    <w:name w:val="Tijelo teksta 31"/>
    <w:basedOn w:val="Normal"/>
    <w:rsid w:val="00AB1E9A"/>
    <w:rPr>
      <w:sz w:val="22"/>
      <w:szCs w:val="22"/>
    </w:rPr>
  </w:style>
  <w:style w:type="character" w:styleId="Hyperlink">
    <w:name w:val="Hyperlink"/>
    <w:rsid w:val="005D633A"/>
    <w:rPr>
      <w:color w:val="0000FF"/>
      <w:u w:val="single"/>
    </w:rPr>
  </w:style>
  <w:style w:type="paragraph" w:styleId="BalloonText">
    <w:name w:val="Balloon Text"/>
    <w:basedOn w:val="Normal"/>
    <w:link w:val="BalloonTextChar"/>
    <w:uiPriority w:val="99"/>
    <w:semiHidden/>
    <w:unhideWhenUsed/>
    <w:rsid w:val="005728FB"/>
    <w:rPr>
      <w:rFonts w:ascii="Segoe UI" w:hAnsi="Segoe UI"/>
      <w:sz w:val="18"/>
      <w:szCs w:val="18"/>
    </w:rPr>
  </w:style>
  <w:style w:type="character" w:customStyle="1" w:styleId="BalloonTextChar">
    <w:name w:val="Balloon Text Char"/>
    <w:link w:val="BalloonText"/>
    <w:uiPriority w:val="99"/>
    <w:semiHidden/>
    <w:rsid w:val="005728FB"/>
    <w:rPr>
      <w:rFonts w:ascii="Segoe UI" w:eastAsia="Times New Roman" w:hAnsi="Segoe UI" w:cs="Segoe UI"/>
      <w:sz w:val="18"/>
      <w:szCs w:val="18"/>
    </w:rPr>
  </w:style>
  <w:style w:type="paragraph" w:styleId="NormalWeb">
    <w:name w:val="Normal (Web)"/>
    <w:basedOn w:val="Normal"/>
    <w:uiPriority w:val="99"/>
    <w:semiHidden/>
    <w:unhideWhenUsed/>
    <w:rsid w:val="00FD77CD"/>
    <w:pPr>
      <w:spacing w:before="100" w:beforeAutospacing="1" w:after="100" w:afterAutospacing="1"/>
    </w:pPr>
    <w:rPr>
      <w:lang w:val="en-US" w:eastAsia="en-US"/>
    </w:rPr>
  </w:style>
  <w:style w:type="character" w:customStyle="1" w:styleId="Heading1Char">
    <w:name w:val="Heading 1 Char"/>
    <w:basedOn w:val="DefaultParagraphFont"/>
    <w:link w:val="Heading1"/>
    <w:uiPriority w:val="9"/>
    <w:rsid w:val="00071168"/>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semiHidden/>
    <w:rsid w:val="008823A3"/>
    <w:rPr>
      <w:rFonts w:asciiTheme="majorHAnsi" w:eastAsiaTheme="majorEastAsia" w:hAnsiTheme="majorHAnsi" w:cstheme="majorBidi"/>
      <w:color w:val="365F91" w:themeColor="accent1" w:themeShade="BF"/>
      <w:sz w:val="26"/>
      <w:szCs w:val="26"/>
      <w:lang w:val="hr-HR" w:eastAsia="hr-HR"/>
    </w:rPr>
  </w:style>
  <w:style w:type="character" w:customStyle="1" w:styleId="Heading5Char">
    <w:name w:val="Heading 5 Char"/>
    <w:basedOn w:val="DefaultParagraphFont"/>
    <w:link w:val="Heading5"/>
    <w:uiPriority w:val="9"/>
    <w:semiHidden/>
    <w:rsid w:val="008823A3"/>
    <w:rPr>
      <w:rFonts w:asciiTheme="majorHAnsi" w:eastAsiaTheme="majorEastAsia" w:hAnsiTheme="majorHAnsi" w:cstheme="majorBidi"/>
      <w:color w:val="365F91" w:themeColor="accent1" w:themeShade="BF"/>
      <w:sz w:val="24"/>
      <w:szCs w:val="24"/>
      <w:lang w:val="hr-HR" w:eastAsia="hr-HR"/>
    </w:rPr>
  </w:style>
  <w:style w:type="character" w:customStyle="1" w:styleId="FootnoteTextChar">
    <w:name w:val="Footnote Text Char"/>
    <w:aliases w:val="Tekst fusnote Char Char,Tekst fusnote Char2 Char Char,Tekst fusnote Char1 Char1 Char Char,Tekst fusnote Char Char Char1 Char Char,Tekst fusnote Char1 Char Char Char Char Char,Tekst fusnote Char Char Char Char Char Char Char,fn Char"/>
    <w:basedOn w:val="DefaultParagraphFont"/>
    <w:link w:val="FootnoteText"/>
    <w:uiPriority w:val="99"/>
    <w:semiHidden/>
    <w:locked/>
    <w:rsid w:val="00B32D51"/>
  </w:style>
  <w:style w:type="paragraph" w:styleId="FootnoteText">
    <w:name w:val="footnote text"/>
    <w:aliases w:val="Tekst fusnote Char,Tekst fusnote Char2 Char,Tekst fusnote Char1 Char1 Char,Tekst fusnote Char Char Char1 Char,Tekst fusnote Char1 Char Char Char Char,Tekst fusnote Char Char Char Char Char Char,Tekst fusnote Char Char1 Char Char,fn,Fußnote"/>
    <w:basedOn w:val="Normal"/>
    <w:link w:val="FootnoteTextChar"/>
    <w:uiPriority w:val="99"/>
    <w:semiHidden/>
    <w:unhideWhenUsed/>
    <w:rsid w:val="00B32D51"/>
    <w:rPr>
      <w:rFonts w:ascii="Calibri" w:eastAsia="Calibri" w:hAnsi="Calibri"/>
      <w:sz w:val="20"/>
      <w:szCs w:val="20"/>
      <w:lang w:val="en-US" w:eastAsia="en-US"/>
    </w:rPr>
  </w:style>
  <w:style w:type="character" w:customStyle="1" w:styleId="FootnoteTextChar1">
    <w:name w:val="Footnote Text Char1"/>
    <w:basedOn w:val="DefaultParagraphFont"/>
    <w:uiPriority w:val="99"/>
    <w:semiHidden/>
    <w:rsid w:val="00B32D51"/>
    <w:rPr>
      <w:rFonts w:ascii="Times New Roman" w:eastAsia="Times New Roman" w:hAnsi="Times New Roman"/>
      <w:lang w:val="hr-HR" w:eastAsia="hr-HR"/>
    </w:rPr>
  </w:style>
  <w:style w:type="character" w:styleId="FootnoteReference">
    <w:name w:val="footnote reference"/>
    <w:aliases w:val="BVI fnr"/>
    <w:uiPriority w:val="99"/>
    <w:semiHidden/>
    <w:unhideWhenUsed/>
    <w:rsid w:val="00B32D51"/>
    <w:rPr>
      <w:vertAlign w:val="superscript"/>
    </w:rPr>
  </w:style>
  <w:style w:type="character" w:styleId="CommentReference">
    <w:name w:val="annotation reference"/>
    <w:basedOn w:val="DefaultParagraphFont"/>
    <w:uiPriority w:val="99"/>
    <w:semiHidden/>
    <w:unhideWhenUsed/>
    <w:rsid w:val="003E55D0"/>
    <w:rPr>
      <w:sz w:val="16"/>
      <w:szCs w:val="16"/>
    </w:rPr>
  </w:style>
  <w:style w:type="paragraph" w:styleId="CommentText">
    <w:name w:val="annotation text"/>
    <w:basedOn w:val="Normal"/>
    <w:link w:val="CommentTextChar"/>
    <w:uiPriority w:val="99"/>
    <w:semiHidden/>
    <w:unhideWhenUsed/>
    <w:rsid w:val="003E55D0"/>
    <w:rPr>
      <w:sz w:val="20"/>
      <w:szCs w:val="20"/>
    </w:rPr>
  </w:style>
  <w:style w:type="character" w:customStyle="1" w:styleId="CommentTextChar">
    <w:name w:val="Comment Text Char"/>
    <w:basedOn w:val="DefaultParagraphFont"/>
    <w:link w:val="CommentText"/>
    <w:uiPriority w:val="99"/>
    <w:semiHidden/>
    <w:rsid w:val="003E55D0"/>
    <w:rPr>
      <w:rFonts w:ascii="Times New Roman" w:eastAsia="Times New Roman" w:hAnsi="Times New Roman"/>
      <w:lang w:val="hr-HR" w:eastAsia="hr-HR"/>
    </w:rPr>
  </w:style>
  <w:style w:type="paragraph" w:styleId="CommentSubject">
    <w:name w:val="annotation subject"/>
    <w:basedOn w:val="CommentText"/>
    <w:next w:val="CommentText"/>
    <w:link w:val="CommentSubjectChar"/>
    <w:uiPriority w:val="99"/>
    <w:semiHidden/>
    <w:unhideWhenUsed/>
    <w:rsid w:val="003E55D0"/>
    <w:rPr>
      <w:b/>
      <w:bCs/>
    </w:rPr>
  </w:style>
  <w:style w:type="character" w:customStyle="1" w:styleId="CommentSubjectChar">
    <w:name w:val="Comment Subject Char"/>
    <w:basedOn w:val="CommentTextChar"/>
    <w:link w:val="CommentSubject"/>
    <w:uiPriority w:val="99"/>
    <w:semiHidden/>
    <w:rsid w:val="003E55D0"/>
    <w:rPr>
      <w:rFonts w:ascii="Times New Roman" w:eastAsia="Times New Roman" w:hAnsi="Times New Roman"/>
      <w:b/>
      <w:bCs/>
      <w:lang w:val="hr-HR" w:eastAsia="hr-HR"/>
    </w:rPr>
  </w:style>
  <w:style w:type="paragraph" w:customStyle="1" w:styleId="box474667">
    <w:name w:val="box_474667"/>
    <w:basedOn w:val="Normal"/>
    <w:rsid w:val="00223BC4"/>
    <w:pPr>
      <w:spacing w:before="100" w:beforeAutospacing="1" w:after="100" w:afterAutospacing="1"/>
    </w:pPr>
  </w:style>
  <w:style w:type="table" w:styleId="GridTable1Light-Accent6">
    <w:name w:val="Grid Table 1 Light Accent 6"/>
    <w:basedOn w:val="TableNormal"/>
    <w:uiPriority w:val="46"/>
    <w:rsid w:val="00332E8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32E8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9545">
      <w:bodyDiv w:val="1"/>
      <w:marLeft w:val="0"/>
      <w:marRight w:val="0"/>
      <w:marTop w:val="0"/>
      <w:marBottom w:val="0"/>
      <w:divBdr>
        <w:top w:val="none" w:sz="0" w:space="0" w:color="auto"/>
        <w:left w:val="none" w:sz="0" w:space="0" w:color="auto"/>
        <w:bottom w:val="none" w:sz="0" w:space="0" w:color="auto"/>
        <w:right w:val="none" w:sz="0" w:space="0" w:color="auto"/>
      </w:divBdr>
    </w:div>
    <w:div w:id="20253172">
      <w:bodyDiv w:val="1"/>
      <w:marLeft w:val="0"/>
      <w:marRight w:val="0"/>
      <w:marTop w:val="0"/>
      <w:marBottom w:val="0"/>
      <w:divBdr>
        <w:top w:val="none" w:sz="0" w:space="0" w:color="auto"/>
        <w:left w:val="none" w:sz="0" w:space="0" w:color="auto"/>
        <w:bottom w:val="none" w:sz="0" w:space="0" w:color="auto"/>
        <w:right w:val="none" w:sz="0" w:space="0" w:color="auto"/>
      </w:divBdr>
    </w:div>
    <w:div w:id="106194135">
      <w:bodyDiv w:val="1"/>
      <w:marLeft w:val="0"/>
      <w:marRight w:val="0"/>
      <w:marTop w:val="0"/>
      <w:marBottom w:val="0"/>
      <w:divBdr>
        <w:top w:val="none" w:sz="0" w:space="0" w:color="auto"/>
        <w:left w:val="none" w:sz="0" w:space="0" w:color="auto"/>
        <w:bottom w:val="none" w:sz="0" w:space="0" w:color="auto"/>
        <w:right w:val="none" w:sz="0" w:space="0" w:color="auto"/>
      </w:divBdr>
    </w:div>
    <w:div w:id="136145492">
      <w:bodyDiv w:val="1"/>
      <w:marLeft w:val="0"/>
      <w:marRight w:val="0"/>
      <w:marTop w:val="0"/>
      <w:marBottom w:val="0"/>
      <w:divBdr>
        <w:top w:val="none" w:sz="0" w:space="0" w:color="auto"/>
        <w:left w:val="none" w:sz="0" w:space="0" w:color="auto"/>
        <w:bottom w:val="none" w:sz="0" w:space="0" w:color="auto"/>
        <w:right w:val="none" w:sz="0" w:space="0" w:color="auto"/>
      </w:divBdr>
    </w:div>
    <w:div w:id="180120932">
      <w:bodyDiv w:val="1"/>
      <w:marLeft w:val="0"/>
      <w:marRight w:val="0"/>
      <w:marTop w:val="0"/>
      <w:marBottom w:val="0"/>
      <w:divBdr>
        <w:top w:val="none" w:sz="0" w:space="0" w:color="auto"/>
        <w:left w:val="none" w:sz="0" w:space="0" w:color="auto"/>
        <w:bottom w:val="none" w:sz="0" w:space="0" w:color="auto"/>
        <w:right w:val="none" w:sz="0" w:space="0" w:color="auto"/>
      </w:divBdr>
    </w:div>
    <w:div w:id="191454700">
      <w:bodyDiv w:val="1"/>
      <w:marLeft w:val="0"/>
      <w:marRight w:val="0"/>
      <w:marTop w:val="0"/>
      <w:marBottom w:val="0"/>
      <w:divBdr>
        <w:top w:val="none" w:sz="0" w:space="0" w:color="auto"/>
        <w:left w:val="none" w:sz="0" w:space="0" w:color="auto"/>
        <w:bottom w:val="none" w:sz="0" w:space="0" w:color="auto"/>
        <w:right w:val="none" w:sz="0" w:space="0" w:color="auto"/>
      </w:divBdr>
    </w:div>
    <w:div w:id="215901632">
      <w:bodyDiv w:val="1"/>
      <w:marLeft w:val="0"/>
      <w:marRight w:val="0"/>
      <w:marTop w:val="0"/>
      <w:marBottom w:val="0"/>
      <w:divBdr>
        <w:top w:val="none" w:sz="0" w:space="0" w:color="auto"/>
        <w:left w:val="none" w:sz="0" w:space="0" w:color="auto"/>
        <w:bottom w:val="none" w:sz="0" w:space="0" w:color="auto"/>
        <w:right w:val="none" w:sz="0" w:space="0" w:color="auto"/>
      </w:divBdr>
    </w:div>
    <w:div w:id="217858236">
      <w:bodyDiv w:val="1"/>
      <w:marLeft w:val="0"/>
      <w:marRight w:val="0"/>
      <w:marTop w:val="0"/>
      <w:marBottom w:val="0"/>
      <w:divBdr>
        <w:top w:val="none" w:sz="0" w:space="0" w:color="auto"/>
        <w:left w:val="none" w:sz="0" w:space="0" w:color="auto"/>
        <w:bottom w:val="none" w:sz="0" w:space="0" w:color="auto"/>
        <w:right w:val="none" w:sz="0" w:space="0" w:color="auto"/>
      </w:divBdr>
    </w:div>
    <w:div w:id="234819455">
      <w:bodyDiv w:val="1"/>
      <w:marLeft w:val="0"/>
      <w:marRight w:val="0"/>
      <w:marTop w:val="0"/>
      <w:marBottom w:val="0"/>
      <w:divBdr>
        <w:top w:val="none" w:sz="0" w:space="0" w:color="auto"/>
        <w:left w:val="none" w:sz="0" w:space="0" w:color="auto"/>
        <w:bottom w:val="none" w:sz="0" w:space="0" w:color="auto"/>
        <w:right w:val="none" w:sz="0" w:space="0" w:color="auto"/>
      </w:divBdr>
    </w:div>
    <w:div w:id="241331083">
      <w:bodyDiv w:val="1"/>
      <w:marLeft w:val="0"/>
      <w:marRight w:val="0"/>
      <w:marTop w:val="0"/>
      <w:marBottom w:val="0"/>
      <w:divBdr>
        <w:top w:val="none" w:sz="0" w:space="0" w:color="auto"/>
        <w:left w:val="none" w:sz="0" w:space="0" w:color="auto"/>
        <w:bottom w:val="none" w:sz="0" w:space="0" w:color="auto"/>
        <w:right w:val="none" w:sz="0" w:space="0" w:color="auto"/>
      </w:divBdr>
    </w:div>
    <w:div w:id="382413747">
      <w:bodyDiv w:val="1"/>
      <w:marLeft w:val="0"/>
      <w:marRight w:val="0"/>
      <w:marTop w:val="0"/>
      <w:marBottom w:val="0"/>
      <w:divBdr>
        <w:top w:val="none" w:sz="0" w:space="0" w:color="auto"/>
        <w:left w:val="none" w:sz="0" w:space="0" w:color="auto"/>
        <w:bottom w:val="none" w:sz="0" w:space="0" w:color="auto"/>
        <w:right w:val="none" w:sz="0" w:space="0" w:color="auto"/>
      </w:divBdr>
    </w:div>
    <w:div w:id="426846755">
      <w:bodyDiv w:val="1"/>
      <w:marLeft w:val="0"/>
      <w:marRight w:val="0"/>
      <w:marTop w:val="0"/>
      <w:marBottom w:val="0"/>
      <w:divBdr>
        <w:top w:val="none" w:sz="0" w:space="0" w:color="auto"/>
        <w:left w:val="none" w:sz="0" w:space="0" w:color="auto"/>
        <w:bottom w:val="none" w:sz="0" w:space="0" w:color="auto"/>
        <w:right w:val="none" w:sz="0" w:space="0" w:color="auto"/>
      </w:divBdr>
    </w:div>
    <w:div w:id="428891429">
      <w:bodyDiv w:val="1"/>
      <w:marLeft w:val="0"/>
      <w:marRight w:val="0"/>
      <w:marTop w:val="0"/>
      <w:marBottom w:val="0"/>
      <w:divBdr>
        <w:top w:val="none" w:sz="0" w:space="0" w:color="auto"/>
        <w:left w:val="none" w:sz="0" w:space="0" w:color="auto"/>
        <w:bottom w:val="none" w:sz="0" w:space="0" w:color="auto"/>
        <w:right w:val="none" w:sz="0" w:space="0" w:color="auto"/>
      </w:divBdr>
    </w:div>
    <w:div w:id="438336706">
      <w:bodyDiv w:val="1"/>
      <w:marLeft w:val="0"/>
      <w:marRight w:val="0"/>
      <w:marTop w:val="0"/>
      <w:marBottom w:val="0"/>
      <w:divBdr>
        <w:top w:val="none" w:sz="0" w:space="0" w:color="auto"/>
        <w:left w:val="none" w:sz="0" w:space="0" w:color="auto"/>
        <w:bottom w:val="none" w:sz="0" w:space="0" w:color="auto"/>
        <w:right w:val="none" w:sz="0" w:space="0" w:color="auto"/>
      </w:divBdr>
    </w:div>
    <w:div w:id="509875820">
      <w:bodyDiv w:val="1"/>
      <w:marLeft w:val="0"/>
      <w:marRight w:val="0"/>
      <w:marTop w:val="0"/>
      <w:marBottom w:val="0"/>
      <w:divBdr>
        <w:top w:val="none" w:sz="0" w:space="0" w:color="auto"/>
        <w:left w:val="none" w:sz="0" w:space="0" w:color="auto"/>
        <w:bottom w:val="none" w:sz="0" w:space="0" w:color="auto"/>
        <w:right w:val="none" w:sz="0" w:space="0" w:color="auto"/>
      </w:divBdr>
    </w:div>
    <w:div w:id="602810723">
      <w:bodyDiv w:val="1"/>
      <w:marLeft w:val="0"/>
      <w:marRight w:val="0"/>
      <w:marTop w:val="0"/>
      <w:marBottom w:val="0"/>
      <w:divBdr>
        <w:top w:val="none" w:sz="0" w:space="0" w:color="auto"/>
        <w:left w:val="none" w:sz="0" w:space="0" w:color="auto"/>
        <w:bottom w:val="none" w:sz="0" w:space="0" w:color="auto"/>
        <w:right w:val="none" w:sz="0" w:space="0" w:color="auto"/>
      </w:divBdr>
    </w:div>
    <w:div w:id="677001554">
      <w:bodyDiv w:val="1"/>
      <w:marLeft w:val="0"/>
      <w:marRight w:val="0"/>
      <w:marTop w:val="0"/>
      <w:marBottom w:val="0"/>
      <w:divBdr>
        <w:top w:val="none" w:sz="0" w:space="0" w:color="auto"/>
        <w:left w:val="none" w:sz="0" w:space="0" w:color="auto"/>
        <w:bottom w:val="none" w:sz="0" w:space="0" w:color="auto"/>
        <w:right w:val="none" w:sz="0" w:space="0" w:color="auto"/>
      </w:divBdr>
    </w:div>
    <w:div w:id="740760847">
      <w:bodyDiv w:val="1"/>
      <w:marLeft w:val="0"/>
      <w:marRight w:val="0"/>
      <w:marTop w:val="0"/>
      <w:marBottom w:val="0"/>
      <w:divBdr>
        <w:top w:val="none" w:sz="0" w:space="0" w:color="auto"/>
        <w:left w:val="none" w:sz="0" w:space="0" w:color="auto"/>
        <w:bottom w:val="none" w:sz="0" w:space="0" w:color="auto"/>
        <w:right w:val="none" w:sz="0" w:space="0" w:color="auto"/>
      </w:divBdr>
    </w:div>
    <w:div w:id="799149739">
      <w:bodyDiv w:val="1"/>
      <w:marLeft w:val="0"/>
      <w:marRight w:val="0"/>
      <w:marTop w:val="0"/>
      <w:marBottom w:val="0"/>
      <w:divBdr>
        <w:top w:val="none" w:sz="0" w:space="0" w:color="auto"/>
        <w:left w:val="none" w:sz="0" w:space="0" w:color="auto"/>
        <w:bottom w:val="none" w:sz="0" w:space="0" w:color="auto"/>
        <w:right w:val="none" w:sz="0" w:space="0" w:color="auto"/>
      </w:divBdr>
    </w:div>
    <w:div w:id="826632396">
      <w:bodyDiv w:val="1"/>
      <w:marLeft w:val="0"/>
      <w:marRight w:val="0"/>
      <w:marTop w:val="0"/>
      <w:marBottom w:val="0"/>
      <w:divBdr>
        <w:top w:val="none" w:sz="0" w:space="0" w:color="auto"/>
        <w:left w:val="none" w:sz="0" w:space="0" w:color="auto"/>
        <w:bottom w:val="none" w:sz="0" w:space="0" w:color="auto"/>
        <w:right w:val="none" w:sz="0" w:space="0" w:color="auto"/>
      </w:divBdr>
    </w:div>
    <w:div w:id="941764264">
      <w:bodyDiv w:val="1"/>
      <w:marLeft w:val="0"/>
      <w:marRight w:val="0"/>
      <w:marTop w:val="0"/>
      <w:marBottom w:val="0"/>
      <w:divBdr>
        <w:top w:val="none" w:sz="0" w:space="0" w:color="auto"/>
        <w:left w:val="none" w:sz="0" w:space="0" w:color="auto"/>
        <w:bottom w:val="none" w:sz="0" w:space="0" w:color="auto"/>
        <w:right w:val="none" w:sz="0" w:space="0" w:color="auto"/>
      </w:divBdr>
    </w:div>
    <w:div w:id="944964819">
      <w:bodyDiv w:val="1"/>
      <w:marLeft w:val="0"/>
      <w:marRight w:val="0"/>
      <w:marTop w:val="0"/>
      <w:marBottom w:val="0"/>
      <w:divBdr>
        <w:top w:val="none" w:sz="0" w:space="0" w:color="auto"/>
        <w:left w:val="none" w:sz="0" w:space="0" w:color="auto"/>
        <w:bottom w:val="none" w:sz="0" w:space="0" w:color="auto"/>
        <w:right w:val="none" w:sz="0" w:space="0" w:color="auto"/>
      </w:divBdr>
    </w:div>
    <w:div w:id="987704526">
      <w:bodyDiv w:val="1"/>
      <w:marLeft w:val="0"/>
      <w:marRight w:val="0"/>
      <w:marTop w:val="0"/>
      <w:marBottom w:val="0"/>
      <w:divBdr>
        <w:top w:val="none" w:sz="0" w:space="0" w:color="auto"/>
        <w:left w:val="none" w:sz="0" w:space="0" w:color="auto"/>
        <w:bottom w:val="none" w:sz="0" w:space="0" w:color="auto"/>
        <w:right w:val="none" w:sz="0" w:space="0" w:color="auto"/>
      </w:divBdr>
    </w:div>
    <w:div w:id="988677577">
      <w:bodyDiv w:val="1"/>
      <w:marLeft w:val="0"/>
      <w:marRight w:val="0"/>
      <w:marTop w:val="0"/>
      <w:marBottom w:val="0"/>
      <w:divBdr>
        <w:top w:val="none" w:sz="0" w:space="0" w:color="auto"/>
        <w:left w:val="none" w:sz="0" w:space="0" w:color="auto"/>
        <w:bottom w:val="none" w:sz="0" w:space="0" w:color="auto"/>
        <w:right w:val="none" w:sz="0" w:space="0" w:color="auto"/>
      </w:divBdr>
    </w:div>
    <w:div w:id="1039164681">
      <w:bodyDiv w:val="1"/>
      <w:marLeft w:val="0"/>
      <w:marRight w:val="0"/>
      <w:marTop w:val="0"/>
      <w:marBottom w:val="0"/>
      <w:divBdr>
        <w:top w:val="none" w:sz="0" w:space="0" w:color="auto"/>
        <w:left w:val="none" w:sz="0" w:space="0" w:color="auto"/>
        <w:bottom w:val="none" w:sz="0" w:space="0" w:color="auto"/>
        <w:right w:val="none" w:sz="0" w:space="0" w:color="auto"/>
      </w:divBdr>
    </w:div>
    <w:div w:id="1039478589">
      <w:bodyDiv w:val="1"/>
      <w:marLeft w:val="0"/>
      <w:marRight w:val="0"/>
      <w:marTop w:val="0"/>
      <w:marBottom w:val="0"/>
      <w:divBdr>
        <w:top w:val="none" w:sz="0" w:space="0" w:color="auto"/>
        <w:left w:val="none" w:sz="0" w:space="0" w:color="auto"/>
        <w:bottom w:val="none" w:sz="0" w:space="0" w:color="auto"/>
        <w:right w:val="none" w:sz="0" w:space="0" w:color="auto"/>
      </w:divBdr>
    </w:div>
    <w:div w:id="1051688419">
      <w:bodyDiv w:val="1"/>
      <w:marLeft w:val="0"/>
      <w:marRight w:val="0"/>
      <w:marTop w:val="0"/>
      <w:marBottom w:val="0"/>
      <w:divBdr>
        <w:top w:val="none" w:sz="0" w:space="0" w:color="auto"/>
        <w:left w:val="none" w:sz="0" w:space="0" w:color="auto"/>
        <w:bottom w:val="none" w:sz="0" w:space="0" w:color="auto"/>
        <w:right w:val="none" w:sz="0" w:space="0" w:color="auto"/>
      </w:divBdr>
    </w:div>
    <w:div w:id="1052774829">
      <w:bodyDiv w:val="1"/>
      <w:marLeft w:val="0"/>
      <w:marRight w:val="0"/>
      <w:marTop w:val="0"/>
      <w:marBottom w:val="0"/>
      <w:divBdr>
        <w:top w:val="none" w:sz="0" w:space="0" w:color="auto"/>
        <w:left w:val="none" w:sz="0" w:space="0" w:color="auto"/>
        <w:bottom w:val="none" w:sz="0" w:space="0" w:color="auto"/>
        <w:right w:val="none" w:sz="0" w:space="0" w:color="auto"/>
      </w:divBdr>
    </w:div>
    <w:div w:id="1059208581">
      <w:bodyDiv w:val="1"/>
      <w:marLeft w:val="0"/>
      <w:marRight w:val="0"/>
      <w:marTop w:val="0"/>
      <w:marBottom w:val="0"/>
      <w:divBdr>
        <w:top w:val="none" w:sz="0" w:space="0" w:color="auto"/>
        <w:left w:val="none" w:sz="0" w:space="0" w:color="auto"/>
        <w:bottom w:val="none" w:sz="0" w:space="0" w:color="auto"/>
        <w:right w:val="none" w:sz="0" w:space="0" w:color="auto"/>
      </w:divBdr>
    </w:div>
    <w:div w:id="1076517426">
      <w:bodyDiv w:val="1"/>
      <w:marLeft w:val="0"/>
      <w:marRight w:val="0"/>
      <w:marTop w:val="0"/>
      <w:marBottom w:val="0"/>
      <w:divBdr>
        <w:top w:val="none" w:sz="0" w:space="0" w:color="auto"/>
        <w:left w:val="none" w:sz="0" w:space="0" w:color="auto"/>
        <w:bottom w:val="none" w:sz="0" w:space="0" w:color="auto"/>
        <w:right w:val="none" w:sz="0" w:space="0" w:color="auto"/>
      </w:divBdr>
    </w:div>
    <w:div w:id="1096244368">
      <w:bodyDiv w:val="1"/>
      <w:marLeft w:val="0"/>
      <w:marRight w:val="0"/>
      <w:marTop w:val="0"/>
      <w:marBottom w:val="0"/>
      <w:divBdr>
        <w:top w:val="none" w:sz="0" w:space="0" w:color="auto"/>
        <w:left w:val="none" w:sz="0" w:space="0" w:color="auto"/>
        <w:bottom w:val="none" w:sz="0" w:space="0" w:color="auto"/>
        <w:right w:val="none" w:sz="0" w:space="0" w:color="auto"/>
      </w:divBdr>
    </w:div>
    <w:div w:id="1207182949">
      <w:bodyDiv w:val="1"/>
      <w:marLeft w:val="0"/>
      <w:marRight w:val="0"/>
      <w:marTop w:val="0"/>
      <w:marBottom w:val="0"/>
      <w:divBdr>
        <w:top w:val="none" w:sz="0" w:space="0" w:color="auto"/>
        <w:left w:val="none" w:sz="0" w:space="0" w:color="auto"/>
        <w:bottom w:val="none" w:sz="0" w:space="0" w:color="auto"/>
        <w:right w:val="none" w:sz="0" w:space="0" w:color="auto"/>
      </w:divBdr>
    </w:div>
    <w:div w:id="1215777191">
      <w:bodyDiv w:val="1"/>
      <w:marLeft w:val="0"/>
      <w:marRight w:val="0"/>
      <w:marTop w:val="0"/>
      <w:marBottom w:val="0"/>
      <w:divBdr>
        <w:top w:val="none" w:sz="0" w:space="0" w:color="auto"/>
        <w:left w:val="none" w:sz="0" w:space="0" w:color="auto"/>
        <w:bottom w:val="none" w:sz="0" w:space="0" w:color="auto"/>
        <w:right w:val="none" w:sz="0" w:space="0" w:color="auto"/>
      </w:divBdr>
    </w:div>
    <w:div w:id="1225603079">
      <w:bodyDiv w:val="1"/>
      <w:marLeft w:val="0"/>
      <w:marRight w:val="0"/>
      <w:marTop w:val="0"/>
      <w:marBottom w:val="0"/>
      <w:divBdr>
        <w:top w:val="none" w:sz="0" w:space="0" w:color="auto"/>
        <w:left w:val="none" w:sz="0" w:space="0" w:color="auto"/>
        <w:bottom w:val="none" w:sz="0" w:space="0" w:color="auto"/>
        <w:right w:val="none" w:sz="0" w:space="0" w:color="auto"/>
      </w:divBdr>
    </w:div>
    <w:div w:id="1237279950">
      <w:bodyDiv w:val="1"/>
      <w:marLeft w:val="0"/>
      <w:marRight w:val="0"/>
      <w:marTop w:val="0"/>
      <w:marBottom w:val="0"/>
      <w:divBdr>
        <w:top w:val="none" w:sz="0" w:space="0" w:color="auto"/>
        <w:left w:val="none" w:sz="0" w:space="0" w:color="auto"/>
        <w:bottom w:val="none" w:sz="0" w:space="0" w:color="auto"/>
        <w:right w:val="none" w:sz="0" w:space="0" w:color="auto"/>
      </w:divBdr>
    </w:div>
    <w:div w:id="1254776446">
      <w:bodyDiv w:val="1"/>
      <w:marLeft w:val="0"/>
      <w:marRight w:val="0"/>
      <w:marTop w:val="0"/>
      <w:marBottom w:val="0"/>
      <w:divBdr>
        <w:top w:val="none" w:sz="0" w:space="0" w:color="auto"/>
        <w:left w:val="none" w:sz="0" w:space="0" w:color="auto"/>
        <w:bottom w:val="none" w:sz="0" w:space="0" w:color="auto"/>
        <w:right w:val="none" w:sz="0" w:space="0" w:color="auto"/>
      </w:divBdr>
    </w:div>
    <w:div w:id="1297568058">
      <w:bodyDiv w:val="1"/>
      <w:marLeft w:val="0"/>
      <w:marRight w:val="0"/>
      <w:marTop w:val="0"/>
      <w:marBottom w:val="0"/>
      <w:divBdr>
        <w:top w:val="none" w:sz="0" w:space="0" w:color="auto"/>
        <w:left w:val="none" w:sz="0" w:space="0" w:color="auto"/>
        <w:bottom w:val="none" w:sz="0" w:space="0" w:color="auto"/>
        <w:right w:val="none" w:sz="0" w:space="0" w:color="auto"/>
      </w:divBdr>
    </w:div>
    <w:div w:id="1314798620">
      <w:bodyDiv w:val="1"/>
      <w:marLeft w:val="0"/>
      <w:marRight w:val="0"/>
      <w:marTop w:val="0"/>
      <w:marBottom w:val="0"/>
      <w:divBdr>
        <w:top w:val="none" w:sz="0" w:space="0" w:color="auto"/>
        <w:left w:val="none" w:sz="0" w:space="0" w:color="auto"/>
        <w:bottom w:val="none" w:sz="0" w:space="0" w:color="auto"/>
        <w:right w:val="none" w:sz="0" w:space="0" w:color="auto"/>
      </w:divBdr>
    </w:div>
    <w:div w:id="1358893846">
      <w:bodyDiv w:val="1"/>
      <w:marLeft w:val="0"/>
      <w:marRight w:val="0"/>
      <w:marTop w:val="0"/>
      <w:marBottom w:val="0"/>
      <w:divBdr>
        <w:top w:val="none" w:sz="0" w:space="0" w:color="auto"/>
        <w:left w:val="none" w:sz="0" w:space="0" w:color="auto"/>
        <w:bottom w:val="none" w:sz="0" w:space="0" w:color="auto"/>
        <w:right w:val="none" w:sz="0" w:space="0" w:color="auto"/>
      </w:divBdr>
    </w:div>
    <w:div w:id="1399330252">
      <w:bodyDiv w:val="1"/>
      <w:marLeft w:val="0"/>
      <w:marRight w:val="0"/>
      <w:marTop w:val="0"/>
      <w:marBottom w:val="0"/>
      <w:divBdr>
        <w:top w:val="none" w:sz="0" w:space="0" w:color="auto"/>
        <w:left w:val="none" w:sz="0" w:space="0" w:color="auto"/>
        <w:bottom w:val="none" w:sz="0" w:space="0" w:color="auto"/>
        <w:right w:val="none" w:sz="0" w:space="0" w:color="auto"/>
      </w:divBdr>
    </w:div>
    <w:div w:id="1399396621">
      <w:bodyDiv w:val="1"/>
      <w:marLeft w:val="0"/>
      <w:marRight w:val="0"/>
      <w:marTop w:val="0"/>
      <w:marBottom w:val="0"/>
      <w:divBdr>
        <w:top w:val="none" w:sz="0" w:space="0" w:color="auto"/>
        <w:left w:val="none" w:sz="0" w:space="0" w:color="auto"/>
        <w:bottom w:val="none" w:sz="0" w:space="0" w:color="auto"/>
        <w:right w:val="none" w:sz="0" w:space="0" w:color="auto"/>
      </w:divBdr>
    </w:div>
    <w:div w:id="1474907809">
      <w:bodyDiv w:val="1"/>
      <w:marLeft w:val="0"/>
      <w:marRight w:val="0"/>
      <w:marTop w:val="0"/>
      <w:marBottom w:val="0"/>
      <w:divBdr>
        <w:top w:val="none" w:sz="0" w:space="0" w:color="auto"/>
        <w:left w:val="none" w:sz="0" w:space="0" w:color="auto"/>
        <w:bottom w:val="none" w:sz="0" w:space="0" w:color="auto"/>
        <w:right w:val="none" w:sz="0" w:space="0" w:color="auto"/>
      </w:divBdr>
    </w:div>
    <w:div w:id="1524397680">
      <w:bodyDiv w:val="1"/>
      <w:marLeft w:val="0"/>
      <w:marRight w:val="0"/>
      <w:marTop w:val="0"/>
      <w:marBottom w:val="0"/>
      <w:divBdr>
        <w:top w:val="none" w:sz="0" w:space="0" w:color="auto"/>
        <w:left w:val="none" w:sz="0" w:space="0" w:color="auto"/>
        <w:bottom w:val="none" w:sz="0" w:space="0" w:color="auto"/>
        <w:right w:val="none" w:sz="0" w:space="0" w:color="auto"/>
      </w:divBdr>
    </w:div>
    <w:div w:id="1589076928">
      <w:bodyDiv w:val="1"/>
      <w:marLeft w:val="0"/>
      <w:marRight w:val="0"/>
      <w:marTop w:val="0"/>
      <w:marBottom w:val="0"/>
      <w:divBdr>
        <w:top w:val="none" w:sz="0" w:space="0" w:color="auto"/>
        <w:left w:val="none" w:sz="0" w:space="0" w:color="auto"/>
        <w:bottom w:val="none" w:sz="0" w:space="0" w:color="auto"/>
        <w:right w:val="none" w:sz="0" w:space="0" w:color="auto"/>
      </w:divBdr>
    </w:div>
    <w:div w:id="1611087551">
      <w:bodyDiv w:val="1"/>
      <w:marLeft w:val="0"/>
      <w:marRight w:val="0"/>
      <w:marTop w:val="0"/>
      <w:marBottom w:val="0"/>
      <w:divBdr>
        <w:top w:val="none" w:sz="0" w:space="0" w:color="auto"/>
        <w:left w:val="none" w:sz="0" w:space="0" w:color="auto"/>
        <w:bottom w:val="none" w:sz="0" w:space="0" w:color="auto"/>
        <w:right w:val="none" w:sz="0" w:space="0" w:color="auto"/>
      </w:divBdr>
    </w:div>
    <w:div w:id="1713573238">
      <w:bodyDiv w:val="1"/>
      <w:marLeft w:val="0"/>
      <w:marRight w:val="0"/>
      <w:marTop w:val="0"/>
      <w:marBottom w:val="0"/>
      <w:divBdr>
        <w:top w:val="none" w:sz="0" w:space="0" w:color="auto"/>
        <w:left w:val="none" w:sz="0" w:space="0" w:color="auto"/>
        <w:bottom w:val="none" w:sz="0" w:space="0" w:color="auto"/>
        <w:right w:val="none" w:sz="0" w:space="0" w:color="auto"/>
      </w:divBdr>
    </w:div>
    <w:div w:id="1719469458">
      <w:bodyDiv w:val="1"/>
      <w:marLeft w:val="0"/>
      <w:marRight w:val="0"/>
      <w:marTop w:val="0"/>
      <w:marBottom w:val="0"/>
      <w:divBdr>
        <w:top w:val="none" w:sz="0" w:space="0" w:color="auto"/>
        <w:left w:val="none" w:sz="0" w:space="0" w:color="auto"/>
        <w:bottom w:val="none" w:sz="0" w:space="0" w:color="auto"/>
        <w:right w:val="none" w:sz="0" w:space="0" w:color="auto"/>
      </w:divBdr>
    </w:div>
    <w:div w:id="1807121618">
      <w:bodyDiv w:val="1"/>
      <w:marLeft w:val="0"/>
      <w:marRight w:val="0"/>
      <w:marTop w:val="0"/>
      <w:marBottom w:val="0"/>
      <w:divBdr>
        <w:top w:val="none" w:sz="0" w:space="0" w:color="auto"/>
        <w:left w:val="none" w:sz="0" w:space="0" w:color="auto"/>
        <w:bottom w:val="none" w:sz="0" w:space="0" w:color="auto"/>
        <w:right w:val="none" w:sz="0" w:space="0" w:color="auto"/>
      </w:divBdr>
    </w:div>
    <w:div w:id="1918903012">
      <w:bodyDiv w:val="1"/>
      <w:marLeft w:val="0"/>
      <w:marRight w:val="0"/>
      <w:marTop w:val="0"/>
      <w:marBottom w:val="0"/>
      <w:divBdr>
        <w:top w:val="none" w:sz="0" w:space="0" w:color="auto"/>
        <w:left w:val="none" w:sz="0" w:space="0" w:color="auto"/>
        <w:bottom w:val="none" w:sz="0" w:space="0" w:color="auto"/>
        <w:right w:val="none" w:sz="0" w:space="0" w:color="auto"/>
      </w:divBdr>
    </w:div>
    <w:div w:id="2027519567">
      <w:bodyDiv w:val="1"/>
      <w:marLeft w:val="0"/>
      <w:marRight w:val="0"/>
      <w:marTop w:val="0"/>
      <w:marBottom w:val="0"/>
      <w:divBdr>
        <w:top w:val="none" w:sz="0" w:space="0" w:color="auto"/>
        <w:left w:val="none" w:sz="0" w:space="0" w:color="auto"/>
        <w:bottom w:val="none" w:sz="0" w:space="0" w:color="auto"/>
        <w:right w:val="none" w:sz="0" w:space="0" w:color="auto"/>
      </w:divBdr>
    </w:div>
    <w:div w:id="2071996968">
      <w:bodyDiv w:val="1"/>
      <w:marLeft w:val="0"/>
      <w:marRight w:val="0"/>
      <w:marTop w:val="0"/>
      <w:marBottom w:val="0"/>
      <w:divBdr>
        <w:top w:val="none" w:sz="0" w:space="0" w:color="auto"/>
        <w:left w:val="none" w:sz="0" w:space="0" w:color="auto"/>
        <w:bottom w:val="none" w:sz="0" w:space="0" w:color="auto"/>
        <w:right w:val="none" w:sz="0" w:space="0" w:color="auto"/>
      </w:divBdr>
    </w:div>
    <w:div w:id="2073960181">
      <w:bodyDiv w:val="1"/>
      <w:marLeft w:val="0"/>
      <w:marRight w:val="0"/>
      <w:marTop w:val="0"/>
      <w:marBottom w:val="0"/>
      <w:divBdr>
        <w:top w:val="none" w:sz="0" w:space="0" w:color="auto"/>
        <w:left w:val="none" w:sz="0" w:space="0" w:color="auto"/>
        <w:bottom w:val="none" w:sz="0" w:space="0" w:color="auto"/>
        <w:right w:val="none" w:sz="0" w:space="0" w:color="auto"/>
      </w:divBdr>
    </w:div>
    <w:div w:id="2076971700">
      <w:bodyDiv w:val="1"/>
      <w:marLeft w:val="0"/>
      <w:marRight w:val="0"/>
      <w:marTop w:val="0"/>
      <w:marBottom w:val="0"/>
      <w:divBdr>
        <w:top w:val="none" w:sz="0" w:space="0" w:color="auto"/>
        <w:left w:val="none" w:sz="0" w:space="0" w:color="auto"/>
        <w:bottom w:val="none" w:sz="0" w:space="0" w:color="auto"/>
        <w:right w:val="none" w:sz="0" w:space="0" w:color="auto"/>
      </w:divBdr>
    </w:div>
    <w:div w:id="2081707770">
      <w:bodyDiv w:val="1"/>
      <w:marLeft w:val="0"/>
      <w:marRight w:val="0"/>
      <w:marTop w:val="0"/>
      <w:marBottom w:val="0"/>
      <w:divBdr>
        <w:top w:val="none" w:sz="0" w:space="0" w:color="auto"/>
        <w:left w:val="none" w:sz="0" w:space="0" w:color="auto"/>
        <w:bottom w:val="none" w:sz="0" w:space="0" w:color="auto"/>
        <w:right w:val="none" w:sz="0" w:space="0" w:color="auto"/>
      </w:divBdr>
    </w:div>
    <w:div w:id="2107650282">
      <w:bodyDiv w:val="1"/>
      <w:marLeft w:val="0"/>
      <w:marRight w:val="0"/>
      <w:marTop w:val="0"/>
      <w:marBottom w:val="0"/>
      <w:divBdr>
        <w:top w:val="none" w:sz="0" w:space="0" w:color="auto"/>
        <w:left w:val="none" w:sz="0" w:space="0" w:color="auto"/>
        <w:bottom w:val="none" w:sz="0" w:space="0" w:color="auto"/>
        <w:right w:val="none" w:sz="0" w:space="0" w:color="auto"/>
      </w:divBdr>
    </w:div>
    <w:div w:id="213039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2033</TotalTime>
  <Pages>23</Pages>
  <Words>10834</Words>
  <Characters>61757</Characters>
  <Application>Microsoft Office Word</Application>
  <DocSecurity>0</DocSecurity>
  <Lines>514</Lines>
  <Paragraphs>144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72447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PC</cp:lastModifiedBy>
  <cp:revision>43</cp:revision>
  <cp:lastPrinted>2025-09-11T12:04:00Z</cp:lastPrinted>
  <dcterms:created xsi:type="dcterms:W3CDTF">2026-04-24T12:05:00Z</dcterms:created>
  <dcterms:modified xsi:type="dcterms:W3CDTF">2026-06-03T07:34:00Z</dcterms:modified>
</cp:coreProperties>
</file>