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uppressAutoHyphens w:val="true"/>
        <w:spacing w:lineRule="auto" w:line="240" w:before="0" w:after="0"/>
        <w:rPr>
          <w:rFonts w:ascii="Times New Roman" w:hAnsi="Times New Roman" w:eastAsia="Lucida Sans Unicode" w:cs="Times New Roman"/>
          <w:kern w:val="2"/>
          <w:lang w:val="hr-HR" w:eastAsia="ar-SA"/>
          <w14:ligatures w14:val="none"/>
        </w:rPr>
      </w:pPr>
      <w:r>
        <w:rPr>
          <w:rFonts w:eastAsia="Lucida Sans Unicode" w:cs="Times New Roman" w:ascii="Times New Roman" w:hAnsi="Times New Roman"/>
          <w:kern w:val="2"/>
          <w:lang w:val="hr-HR" w:eastAsia="ar-SA"/>
          <w14:ligatures w14:val="none"/>
        </w:rPr>
        <w:drawing>
          <wp:anchor behindDoc="0" distT="0" distB="0" distL="114935" distR="114935" simplePos="0" locked="0" layoutInCell="0" allowOverlap="1" relativeHeight="2">
            <wp:simplePos x="0" y="0"/>
            <wp:positionH relativeFrom="column">
              <wp:posOffset>52705</wp:posOffset>
            </wp:positionH>
            <wp:positionV relativeFrom="paragraph">
              <wp:posOffset>635</wp:posOffset>
            </wp:positionV>
            <wp:extent cx="273050" cy="411480"/>
            <wp:effectExtent l="0" t="0" r="0" b="0"/>
            <wp:wrapTopAndBottom/>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273050" cy="411480"/>
                    </a:xfrm>
                    <a:prstGeom prst="rect">
                      <a:avLst/>
                    </a:prstGeom>
                    <a:solidFill>
                      <a:srgbClr val="ffffff"/>
                    </a:solidFill>
                  </pic:spPr>
                </pic:pic>
              </a:graphicData>
            </a:graphic>
          </wp:anchor>
        </w:drawing>
      </w:r>
    </w:p>
    <w:p>
      <w:pPr>
        <w:pStyle w:val="Normal"/>
        <w:widowControl w:val="false"/>
        <w:suppressAutoHyphens w:val="true"/>
        <w:spacing w:lineRule="auto" w:line="240" w:before="0" w:after="0"/>
        <w:rPr>
          <w:rFonts w:ascii="Times New Roman" w:hAnsi="Times New Roman" w:eastAsia="Lucida Sans Unicode" w:cs="Times New Roman"/>
          <w:kern w:val="2"/>
          <w:lang w:val="hr-HR" w:eastAsia="ar-SA"/>
          <w14:ligatures w14:val="none"/>
        </w:rPr>
      </w:pPr>
      <w:r>
        <w:rPr>
          <w:rFonts w:eastAsia="Lucida Sans Unicode" w:cs="Times New Roman" w:ascii="Times New Roman" w:hAnsi="Times New Roman"/>
          <w:kern w:val="2"/>
          <w:lang w:val="hr-HR" w:eastAsia="ar-SA"/>
          <w14:ligatures w14:val="none"/>
        </w:rPr>
        <w:t>REPUBLIKA HRVATSKA</w:t>
        <w:br/>
        <w:t>DUBROVAČKO-NERETVANSKA ŽUPANIJA</w:t>
        <w:br/>
        <w:t>OPĆINA VELA LUKA</w:t>
      </w:r>
    </w:p>
    <w:p>
      <w:pPr>
        <w:pStyle w:val="Normal"/>
        <w:spacing w:lineRule="auto" w:line="240" w:before="0" w:after="0"/>
        <w:rPr>
          <w:rFonts w:ascii="Times New Roman" w:hAnsi="Times New Roman" w:eastAsia="Lucida Sans Unicode" w:cs="Times New Roman"/>
          <w:kern w:val="2"/>
          <w:lang w:val="hr-HR" w:eastAsia="ar-SA"/>
          <w14:ligatures w14:val="none"/>
        </w:rPr>
      </w:pPr>
      <w:r>
        <w:rPr>
          <w:rFonts w:eastAsia="Lucida Sans Unicode" w:cs="Times New Roman" w:ascii="Times New Roman" w:hAnsi="Times New Roman"/>
          <w:kern w:val="2"/>
          <w:lang w:val="hr-HR" w:eastAsia="ar-SA"/>
          <w14:ligatures w14:val="none"/>
        </w:rPr>
        <w:t>Načelnica</w:t>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t>Klasa:</w:t>
      </w:r>
      <w:r>
        <w:rPr/>
        <w:t xml:space="preserve"> </w:t>
      </w:r>
      <w:r>
        <w:rPr>
          <w:rFonts w:eastAsia="Times New Roman" w:cs="Times New Roman" w:ascii="Times New Roman" w:hAnsi="Times New Roman"/>
          <w:kern w:val="0"/>
          <w14:ligatures w14:val="none"/>
        </w:rPr>
        <w:t xml:space="preserve"> </w:t>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t xml:space="preserve">Urbroj: </w:t>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t xml:space="preserve">Vela Luka, </w:t>
      </w:r>
      <w:r>
        <w:rPr>
          <w:rFonts w:eastAsia="Times New Roman" w:cs="Times New Roman" w:ascii="Times New Roman" w:hAnsi="Times New Roman"/>
          <w:kern w:val="0"/>
          <w14:ligatures w14:val="none"/>
        </w:rPr>
        <w:softHyphen/>
        <w:t>_____________,</w:t>
      </w:r>
      <w:r>
        <w:rPr>
          <w:rFonts w:eastAsia="Times New Roman" w:cs="Times New Roman" w:ascii="Times New Roman" w:hAnsi="Times New Roman"/>
          <w:kern w:val="0"/>
          <w14:ligatures w14:val="none"/>
        </w:rPr>
        <w:t>2025.g.</w:t>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t>Temeljem članka 17. Zakona o socijalnoj skrbi (NN 18/22, 46/22, 119/22, 71/23, 156/23, 61/25) i članka 39. Statuta Općine Vela Luka ( Službeni glasnik br. 11/2021), Općinska Načelnica donosi</w:t>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jc w:val="center"/>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t>ODLUKU</w:t>
      </w:r>
    </w:p>
    <w:p>
      <w:pPr>
        <w:pStyle w:val="Normal"/>
        <w:spacing w:lineRule="auto" w:line="240" w:before="0" w:after="0"/>
        <w:jc w:val="center"/>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jc w:val="center"/>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t>o isplati mjesečne naknade korisnicima Inkluzivnog dodatka I. razine</w:t>
      </w:r>
    </w:p>
    <w:p>
      <w:pPr>
        <w:pStyle w:val="Normal"/>
        <w:spacing w:lineRule="auto" w:line="240" w:before="0" w:after="0"/>
        <w:jc w:val="center"/>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jc w:val="center"/>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t>Članak 1.</w:t>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t>Od 1  siječnja 2026. godine korisnicima inkluzivnog dodatka I. razine priznaje se pravo na dodatnu mjesečnu novčanu naknadu u iznosu od 40,00 eura koju isplaćuje Općine Vela Luka.</w:t>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jc w:val="center"/>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t>Članak 2.</w:t>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t>Pravo na mjesečnu naknadu iz članka 1. ove Odluke ostvaruje korisnik/ca koji:</w:t>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t>1. ima priznat status korisnika inkluzivnog dodatka I. razine, odobren od Hrvatskog zavoda za socijalni rad </w:t>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t xml:space="preserve">2. podnese zahtjev na propisanom obrascu Općine Vela Luka (prilog 1. Odluke) </w:t>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t>3. stanuje i ima prijavljeno prebivalište na području Općine Vela Luka.</w:t>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jc w:val="center"/>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t>Članak 3.</w:t>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t>Korisnik/ca koji tijekom godine zatraži ostvarivanje prava na Inkluzivni dodatak i ostvari pravo na inkluzivni dodatak 1.razine, mjesečna naknada mu se priznaje unatrag, odnosno od datuma od kojeg mu je rješenjem Hrvatskog zavoda za socijalni rad priznat status korisnika inkluzivnog dodatka I. razine, a najranije od 01.siječnja 2026.godine.</w:t>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jc w:val="center"/>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t>Članak 4.</w:t>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t>Isplata mjesečne naknade isplaćuje se do15. dana u mjesecu za prethodni mjesec, na tekući račun korisnika ili zakonskog skrbnika. </w:t>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jc w:val="center"/>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t>Članak 5.</w:t>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t>Upravni odjel za opće poslove, društvene djelatnosti i održivi razvoj Općine Vela Luka zadužuje se za zaprimanje zahtjeva za ostvarivanje prava, utvrđivanje prava i izdavanje rješenja te vođenje evidencije o korisnicima koji ostvaruju pravo iz članka 1. ove Odluke. </w:t>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t>Upravni odjel za proračun i financije Općine Vela Luka zadužuje se za redovitu isplatu naknade korisnicima prava iz članka 1. ove Odluke te izvješćavanje Porezne uprave o navedenoj isplati putem JOPPD obrasca.</w:t>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jc w:val="center"/>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t>Članak 6.</w:t>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t>Naknada iz članka 1. ove odluke dio je Programa socijalne skrbi i zdravstvene zaštite Općine Vela Luka.</w:t>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jc w:val="center"/>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t>Članak 7.</w:t>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t>Ova Odluka objavit će se u Službenom glasniku Općine Vela Luka, a stupa na snagu i primjenjivati će se od 01.siječnja 2026. godine. </w:t>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jc w:val="right"/>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t>Načelnica</w:t>
      </w:r>
    </w:p>
    <w:p>
      <w:pPr>
        <w:pStyle w:val="Normal"/>
        <w:spacing w:lineRule="auto" w:line="240" w:before="0" w:after="0"/>
        <w:jc w:val="right"/>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t>Katarina Gugić, bacc.oec</w:t>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t xml:space="preserve">OBRAZLOŽENJE: </w:t>
      </w:r>
    </w:p>
    <w:p>
      <w:pPr>
        <w:pStyle w:val="box475758"/>
        <w:shd w:val="clear" w:color="auto" w:fill="FFFFFF"/>
        <w:spacing w:beforeAutospacing="0" w:before="0" w:afterAutospacing="0" w:after="48"/>
        <w:textAlignment w:val="baseline"/>
        <w:rPr/>
      </w:pPr>
      <w:r>
        <w:rPr/>
        <w:t>Sukladno Zakonu o inkluzivnom dodatku (NN 156/23), i</w:t>
      </w:r>
      <w:r>
        <w:rPr>
          <w:color w:val="231F20"/>
        </w:rPr>
        <w:t>nkluzivni dodatak je novčana naknada namijenjena osobi s invaliditetom u svrhu prevladavanja različitih prepreka koje mogu sprječavati njezino puno i učinkovito sudjelovanje u društvu na ravnopravnoj osnovi s drugima.</w:t>
      </w:r>
    </w:p>
    <w:p>
      <w:pPr>
        <w:pStyle w:val="box475758"/>
        <w:shd w:val="clear" w:color="auto" w:fill="FFFFFF"/>
        <w:spacing w:beforeAutospacing="0" w:before="0" w:afterAutospacing="0" w:after="48"/>
        <w:textAlignment w:val="baseline"/>
        <w:rPr>
          <w:color w:val="231F20"/>
        </w:rPr>
      </w:pPr>
      <w:r>
        <w:rPr>
          <w:color w:val="231F20"/>
        </w:rPr>
        <w:t>Visina iznosa inkluzivnog dodatka razvrstava se u 5 razina ovisno o vrsti, težini, stupnju oštećenja zdravlja odnosno funkcionalnoj sposobnosti, ali i dobi i to na način da se za 1.razinu osigurava najveći iznos inkluzivnog dodatka, a za 5.razinu najniži.</w:t>
      </w:r>
    </w:p>
    <w:p>
      <w:pPr>
        <w:pStyle w:val="box475758"/>
        <w:shd w:val="clear" w:color="auto" w:fill="FFFFFF"/>
        <w:spacing w:beforeAutospacing="0" w:before="0" w:afterAutospacing="0" w:after="48"/>
        <w:textAlignment w:val="baseline"/>
        <w:rPr>
          <w:color w:val="231F20"/>
          <w:shd w:fill="FFFFFF" w:val="clear"/>
        </w:rPr>
      </w:pPr>
      <w:r>
        <w:rPr>
          <w:color w:val="231F20"/>
          <w:shd w:fill="FFFFFF" w:val="clear"/>
        </w:rPr>
        <w:t>Razinu potpore utvrđuje Zavod za socijalni rad na temelju nalaza i mišljenja Zavoda za vještačenje, profesionalnu rehabilitaciju i zapošljavanje osoba s invaliditetom prema propisima kojima se uređuje vještačenje i metodologija vještačenja.</w:t>
      </w:r>
    </w:p>
    <w:p>
      <w:pPr>
        <w:pStyle w:val="box475758"/>
        <w:shd w:val="clear" w:color="auto" w:fill="FFFFFF"/>
        <w:spacing w:beforeAutospacing="0" w:before="0" w:afterAutospacing="0" w:after="48"/>
        <w:textAlignment w:val="baseline"/>
        <w:rPr>
          <w:color w:val="231F20"/>
        </w:rPr>
      </w:pPr>
      <w:r>
        <w:rPr>
          <w:color w:val="231F20"/>
        </w:rPr>
      </w:r>
    </w:p>
    <w:p>
      <w:pPr>
        <w:pStyle w:val="box475758"/>
        <w:shd w:val="clear" w:color="auto" w:fill="FFFFFF"/>
        <w:spacing w:beforeAutospacing="0" w:before="0" w:afterAutospacing="0" w:after="48"/>
        <w:textAlignment w:val="baseline"/>
        <w:rPr>
          <w:color w:val="231F20"/>
        </w:rPr>
      </w:pPr>
      <w:r>
        <w:rPr>
          <w:color w:val="231F20"/>
        </w:rPr>
        <w:t>Prvu razinu potpore Inkluzivnog dodatka mogu ostvariti:</w:t>
      </w:r>
    </w:p>
    <w:p>
      <w:pPr>
        <w:pStyle w:val="box475758"/>
        <w:shd w:val="clear" w:color="auto" w:fill="FFFFFF"/>
        <w:spacing w:beforeAutospacing="0" w:before="0" w:afterAutospacing="0" w:after="48"/>
        <w:textAlignment w:val="baseline"/>
        <w:rPr>
          <w:color w:val="231F20"/>
        </w:rPr>
      </w:pPr>
      <w:r>
        <w:rPr>
          <w:color w:val="231F20"/>
        </w:rPr>
        <w:t>a) djeca do sedam godina s tjelesnim oštećenjem III. ili IV. stupnja</w:t>
      </w:r>
    </w:p>
    <w:p>
      <w:pPr>
        <w:pStyle w:val="box475758"/>
        <w:shd w:val="clear" w:color="auto" w:fill="FFFFFF"/>
        <w:spacing w:beforeAutospacing="0" w:before="0" w:afterAutospacing="0" w:after="48"/>
        <w:textAlignment w:val="baseline"/>
        <w:rPr>
          <w:color w:val="231F20"/>
        </w:rPr>
      </w:pPr>
      <w:r>
        <w:rPr>
          <w:color w:val="231F20"/>
        </w:rPr>
        <w:t>b) djeca od sedam do 18 godina s tjelesnim oštećenjem IV. stupnja s Barthelovim indeksom 0 − 20</w:t>
      </w:r>
    </w:p>
    <w:p>
      <w:pPr>
        <w:pStyle w:val="box475758"/>
        <w:shd w:val="clear" w:color="auto" w:fill="FFFFFF"/>
        <w:spacing w:beforeAutospacing="0" w:before="0" w:afterAutospacing="0" w:after="48"/>
        <w:textAlignment w:val="baseline"/>
        <w:rPr>
          <w:color w:val="231F20"/>
        </w:rPr>
      </w:pPr>
      <w:r>
        <w:rPr>
          <w:color w:val="231F20"/>
        </w:rPr>
        <w:t>c) djeca od sedam do 18 godina s tjelesnim oštećenjem IV. stupnja s Barthelovim indeksom 21 − 35 i dodatnom teškoćom III. ili IV. stupnja</w:t>
      </w:r>
    </w:p>
    <w:p>
      <w:pPr>
        <w:pStyle w:val="box475758"/>
        <w:shd w:val="clear" w:color="auto" w:fill="FFFFFF"/>
        <w:spacing w:beforeAutospacing="0" w:before="0" w:afterAutospacing="0" w:after="48"/>
        <w:textAlignment w:val="baseline"/>
        <w:rPr>
          <w:color w:val="231F20"/>
        </w:rPr>
      </w:pPr>
      <w:r>
        <w:rPr>
          <w:color w:val="231F20"/>
        </w:rPr>
        <w:t>d) djeca od sedam do 18 godina s tjelesnim oštećenjem III. stupnja s Barthelovim indeksom  36 − 60 i dodatnom teškoćom III. ili IV. stupnja</w:t>
      </w:r>
    </w:p>
    <w:p>
      <w:pPr>
        <w:pStyle w:val="box475758"/>
        <w:shd w:val="clear" w:color="auto" w:fill="FFFFFF"/>
        <w:spacing w:beforeAutospacing="0" w:before="0" w:afterAutospacing="0" w:after="48"/>
        <w:textAlignment w:val="baseline"/>
        <w:rPr>
          <w:color w:val="231F20"/>
        </w:rPr>
      </w:pPr>
      <w:r>
        <w:rPr>
          <w:color w:val="231F20"/>
        </w:rPr>
        <w:t>e) djeca s oštećenjem vida IV. stupnja s dodatnom teškoćom</w:t>
      </w:r>
    </w:p>
    <w:p>
      <w:pPr>
        <w:pStyle w:val="box475758"/>
        <w:shd w:val="clear" w:color="auto" w:fill="FFFFFF"/>
        <w:spacing w:beforeAutospacing="0" w:before="0" w:afterAutospacing="0" w:after="48"/>
        <w:textAlignment w:val="baseline"/>
        <w:rPr>
          <w:color w:val="231F20"/>
        </w:rPr>
      </w:pPr>
      <w:r>
        <w:rPr>
          <w:color w:val="231F20"/>
        </w:rPr>
        <w:t>f) djeca s oštećenjem sluha IV. stupnja s dodatnom teškoćom</w:t>
      </w:r>
    </w:p>
    <w:p>
      <w:pPr>
        <w:pStyle w:val="box475758"/>
        <w:shd w:val="clear" w:color="auto" w:fill="FFFFFF"/>
        <w:spacing w:beforeAutospacing="0" w:before="0" w:afterAutospacing="0" w:after="48"/>
        <w:textAlignment w:val="baseline"/>
        <w:rPr>
          <w:color w:val="231F20"/>
        </w:rPr>
      </w:pPr>
      <w:r>
        <w:rPr>
          <w:color w:val="231F20"/>
        </w:rPr>
        <w:t>g) djeca s gluhosljepoćom IV. stupnja</w:t>
      </w:r>
    </w:p>
    <w:p>
      <w:pPr>
        <w:pStyle w:val="box475758"/>
        <w:shd w:val="clear" w:color="auto" w:fill="FFFFFF"/>
        <w:spacing w:beforeAutospacing="0" w:before="0" w:afterAutospacing="0" w:after="48"/>
        <w:textAlignment w:val="baseline"/>
        <w:rPr>
          <w:color w:val="231F20"/>
        </w:rPr>
      </w:pPr>
      <w:r>
        <w:rPr>
          <w:color w:val="231F20"/>
        </w:rPr>
        <w:t>h) djeca s poremećajem iz autističnog spektra IV. stupnja</w:t>
      </w:r>
    </w:p>
    <w:p>
      <w:pPr>
        <w:pStyle w:val="box475758"/>
        <w:shd w:val="clear" w:color="auto" w:fill="FFFFFF"/>
        <w:spacing w:beforeAutospacing="0" w:before="0" w:afterAutospacing="0" w:after="48"/>
        <w:textAlignment w:val="baseline"/>
        <w:rPr>
          <w:color w:val="231F20"/>
        </w:rPr>
      </w:pPr>
      <w:r>
        <w:rPr>
          <w:color w:val="231F20"/>
        </w:rPr>
        <w:t>i) djeca s psihičkom bolesti IV. stupnja</w:t>
      </w:r>
    </w:p>
    <w:p>
      <w:pPr>
        <w:pStyle w:val="box475758"/>
        <w:shd w:val="clear" w:color="auto" w:fill="FFFFFF"/>
        <w:spacing w:beforeAutospacing="0" w:before="0" w:afterAutospacing="0" w:after="48"/>
        <w:textAlignment w:val="baseline"/>
        <w:rPr>
          <w:color w:val="231F20"/>
        </w:rPr>
      </w:pPr>
      <w:r>
        <w:rPr>
          <w:color w:val="231F20"/>
        </w:rPr>
        <w:t>j) djeca s kroničnom bolesti IV. stupnja</w:t>
      </w:r>
    </w:p>
    <w:p>
      <w:pPr>
        <w:pStyle w:val="box475758"/>
        <w:shd w:val="clear" w:color="auto" w:fill="FFFFFF"/>
        <w:spacing w:beforeAutospacing="0" w:before="0" w:afterAutospacing="0" w:after="48"/>
        <w:textAlignment w:val="baseline"/>
        <w:rPr>
          <w:color w:val="231F20"/>
        </w:rPr>
      </w:pPr>
      <w:r>
        <w:rPr>
          <w:color w:val="231F20"/>
        </w:rPr>
        <w:t>k) djeca i odrasle osobe s težim i teškim intelektualnim teškoćama IV. stupnja</w:t>
      </w:r>
    </w:p>
    <w:p>
      <w:pPr>
        <w:pStyle w:val="box475758"/>
        <w:shd w:val="clear" w:color="auto" w:fill="FFFFFF"/>
        <w:spacing w:beforeAutospacing="0" w:before="0" w:afterAutospacing="0" w:after="48"/>
        <w:textAlignment w:val="baseline"/>
        <w:rPr>
          <w:color w:val="231F20"/>
        </w:rPr>
      </w:pPr>
      <w:r>
        <w:rPr>
          <w:color w:val="231F20"/>
        </w:rPr>
        <w:t>l) odrasle osobe s tjelesnim oštećenjem IV. stupnja s Barthelovim indeksom 0 − 20</w:t>
      </w:r>
    </w:p>
    <w:p>
      <w:pPr>
        <w:pStyle w:val="box475758"/>
        <w:shd w:val="clear" w:color="auto" w:fill="FFFFFF"/>
        <w:spacing w:beforeAutospacing="0" w:before="0" w:afterAutospacing="0" w:after="48"/>
        <w:textAlignment w:val="baseline"/>
        <w:rPr>
          <w:color w:val="231F20"/>
        </w:rPr>
      </w:pPr>
      <w:r>
        <w:rPr>
          <w:color w:val="231F20"/>
        </w:rPr>
        <w:t>m) odrasle osobe s poremećajem iz autističnog spektra IV. stupnja s dodatnom teškoćom</w:t>
      </w:r>
    </w:p>
    <w:p>
      <w:pPr>
        <w:pStyle w:val="box475758"/>
        <w:shd w:val="clear" w:color="auto" w:fill="FFFFFF"/>
        <w:spacing w:beforeAutospacing="0" w:before="0" w:afterAutospacing="0" w:after="48"/>
        <w:textAlignment w:val="baseline"/>
        <w:rPr>
          <w:color w:val="231F20"/>
        </w:rPr>
      </w:pPr>
      <w:r>
        <w:rPr>
          <w:color w:val="231F20"/>
        </w:rPr>
        <w:t>n) odrasle osobe s psihičkom bolesti IV. stupnja s dodatnom teškoćom.</w:t>
      </w:r>
    </w:p>
    <w:p>
      <w:pPr>
        <w:pStyle w:val="Normal"/>
        <w:spacing w:lineRule="auto" w:line="240" w:before="0" w:after="0"/>
        <w:jc w:val="both"/>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t>Odlukom Općine Vela Luka o isplati mjesečne naknade korisnicima Inkluzivnog dodatka 1.razine, osigurava se dodatna podrška osobama koje ostvaruju navedeno pravo, s ciljem unapređenja njihove socijalne uključenosti. </w:t>
      </w:r>
    </w:p>
    <w:p>
      <w:pPr>
        <w:pStyle w:val="Normal"/>
        <w:spacing w:lineRule="auto" w:line="240" w:before="0" w:after="0"/>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t>Uvođenjem ove mjere Općina Vela Luka dodatno doprinosi provedbi politike socijalne jednakosti i brige za najranjivije skupine stanovništva i reguliranje prava korisnicima inkluzivnog dodatka 1.razine kroz pomoć za osobe s najtežim stupnjem oštećenja.</w:t>
      </w:r>
    </w:p>
    <w:p>
      <w:pPr>
        <w:pStyle w:val="Normal"/>
        <w:spacing w:before="0" w:after="160"/>
        <w:rPr>
          <w:rFonts w:ascii="Times New Roman" w:hAnsi="Times New Roman" w:cs="Times New Roman"/>
        </w:rPr>
      </w:pPr>
      <w:r>
        <w:rPr>
          <w:rFonts w:cs="Times New Roman" w:ascii="Times New Roman" w:hAnsi="Times New Roman"/>
        </w:rPr>
      </w:r>
    </w:p>
    <w:sectPr>
      <w:type w:val="nextPage"/>
      <w:pgSz w:w="12240" w:h="15840"/>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Liberation Sans">
    <w:altName w:val="Arial"/>
    <w:charset w:val="ee"/>
    <w:family w:val="swiss"/>
    <w:pitch w:val="variable"/>
  </w:font>
  <w:font w:name="Times New Roman">
    <w:charset w:val="ee"/>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8" w:before="0" w:after="160"/>
      <w:jc w:val="left"/>
    </w:pPr>
    <w:rPr>
      <w:rFonts w:ascii="Calibri" w:hAnsi="Calibri" w:eastAsia="Calibri" w:cs="" w:asciiTheme="minorHAnsi" w:cstheme="minorBidi" w:eastAsiaTheme="minorHAnsi" w:hAnsiTheme="minorHAnsi"/>
      <w:color w:val="auto"/>
      <w:kern w:val="2"/>
      <w:sz w:val="24"/>
      <w:szCs w:val="24"/>
      <w:lang w:val="en-US" w:eastAsia="en-US" w:bidi="ar-SA"/>
      <w14:ligatures w14:val="standardContextual"/>
    </w:rPr>
  </w:style>
  <w:style w:type="paragraph" w:styleId="Heading1">
    <w:name w:val="heading 1"/>
    <w:basedOn w:val="Normal"/>
    <w:next w:val="Normal"/>
    <w:link w:val="Naslov1Char"/>
    <w:uiPriority w:val="9"/>
    <w:qFormat/>
    <w:rsid w:val="000946f1"/>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Naslov2Char"/>
    <w:uiPriority w:val="9"/>
    <w:semiHidden/>
    <w:unhideWhenUsed/>
    <w:qFormat/>
    <w:rsid w:val="000946f1"/>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Naslov3Char"/>
    <w:uiPriority w:val="9"/>
    <w:semiHidden/>
    <w:unhideWhenUsed/>
    <w:qFormat/>
    <w:rsid w:val="000946f1"/>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Naslov4Char"/>
    <w:uiPriority w:val="9"/>
    <w:semiHidden/>
    <w:unhideWhenUsed/>
    <w:qFormat/>
    <w:rsid w:val="000946f1"/>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Naslov5Char"/>
    <w:uiPriority w:val="9"/>
    <w:semiHidden/>
    <w:unhideWhenUsed/>
    <w:qFormat/>
    <w:rsid w:val="000946f1"/>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Naslov6Char"/>
    <w:uiPriority w:val="9"/>
    <w:semiHidden/>
    <w:unhideWhenUsed/>
    <w:qFormat/>
    <w:rsid w:val="000946f1"/>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Naslov7Char"/>
    <w:uiPriority w:val="9"/>
    <w:semiHidden/>
    <w:unhideWhenUsed/>
    <w:qFormat/>
    <w:rsid w:val="000946f1"/>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Naslov8Char"/>
    <w:uiPriority w:val="9"/>
    <w:semiHidden/>
    <w:unhideWhenUsed/>
    <w:qFormat/>
    <w:rsid w:val="000946f1"/>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Naslov9Char"/>
    <w:uiPriority w:val="9"/>
    <w:semiHidden/>
    <w:unhideWhenUsed/>
    <w:qFormat/>
    <w:rsid w:val="000946f1"/>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Naslov1Char" w:customStyle="1">
    <w:name w:val="Naslov 1 Char"/>
    <w:basedOn w:val="DefaultParagraphFont"/>
    <w:uiPriority w:val="9"/>
    <w:qFormat/>
    <w:rsid w:val="000946f1"/>
    <w:rPr>
      <w:rFonts w:ascii="Calibri Light" w:hAnsi="Calibri Light" w:eastAsia="" w:cs="" w:asciiTheme="majorHAnsi" w:cstheme="majorBidi" w:eastAsiaTheme="majorEastAsia" w:hAnsiTheme="majorHAnsi"/>
      <w:color w:themeColor="accent1" w:themeShade="bf" w:val="2F5496"/>
      <w:sz w:val="40"/>
      <w:szCs w:val="40"/>
    </w:rPr>
  </w:style>
  <w:style w:type="character" w:styleId="Naslov2Char" w:customStyle="1">
    <w:name w:val="Naslov 2 Char"/>
    <w:basedOn w:val="DefaultParagraphFont"/>
    <w:uiPriority w:val="9"/>
    <w:semiHidden/>
    <w:qFormat/>
    <w:rsid w:val="000946f1"/>
    <w:rPr>
      <w:rFonts w:ascii="Calibri Light" w:hAnsi="Calibri Light" w:eastAsia="" w:cs="" w:asciiTheme="majorHAnsi" w:cstheme="majorBidi" w:eastAsiaTheme="majorEastAsia" w:hAnsiTheme="majorHAnsi"/>
      <w:color w:themeColor="accent1" w:themeShade="bf" w:val="2F5496"/>
      <w:sz w:val="32"/>
      <w:szCs w:val="32"/>
    </w:rPr>
  </w:style>
  <w:style w:type="character" w:styleId="Naslov3Char" w:customStyle="1">
    <w:name w:val="Naslov 3 Char"/>
    <w:basedOn w:val="DefaultParagraphFont"/>
    <w:uiPriority w:val="9"/>
    <w:semiHidden/>
    <w:qFormat/>
    <w:rsid w:val="000946f1"/>
    <w:rPr>
      <w:rFonts w:eastAsia="" w:cs="" w:cstheme="majorBidi" w:eastAsiaTheme="majorEastAsia"/>
      <w:color w:themeColor="accent1" w:themeShade="bf" w:val="2F5496"/>
      <w:sz w:val="28"/>
      <w:szCs w:val="28"/>
    </w:rPr>
  </w:style>
  <w:style w:type="character" w:styleId="Naslov4Char" w:customStyle="1">
    <w:name w:val="Naslov 4 Char"/>
    <w:basedOn w:val="DefaultParagraphFont"/>
    <w:uiPriority w:val="9"/>
    <w:semiHidden/>
    <w:qFormat/>
    <w:rsid w:val="000946f1"/>
    <w:rPr>
      <w:rFonts w:eastAsia="" w:cs="" w:cstheme="majorBidi" w:eastAsiaTheme="majorEastAsia"/>
      <w:i/>
      <w:iCs/>
      <w:color w:themeColor="accent1" w:themeShade="bf" w:val="2F5496"/>
    </w:rPr>
  </w:style>
  <w:style w:type="character" w:styleId="Naslov5Char" w:customStyle="1">
    <w:name w:val="Naslov 5 Char"/>
    <w:basedOn w:val="DefaultParagraphFont"/>
    <w:uiPriority w:val="9"/>
    <w:semiHidden/>
    <w:qFormat/>
    <w:rsid w:val="000946f1"/>
    <w:rPr>
      <w:rFonts w:eastAsia="" w:cs="" w:cstheme="majorBidi" w:eastAsiaTheme="majorEastAsia"/>
      <w:color w:themeColor="accent1" w:themeShade="bf" w:val="2F5496"/>
    </w:rPr>
  </w:style>
  <w:style w:type="character" w:styleId="Naslov6Char" w:customStyle="1">
    <w:name w:val="Naslov 6 Char"/>
    <w:basedOn w:val="DefaultParagraphFont"/>
    <w:uiPriority w:val="9"/>
    <w:semiHidden/>
    <w:qFormat/>
    <w:rsid w:val="000946f1"/>
    <w:rPr>
      <w:rFonts w:eastAsia="" w:cs="" w:cstheme="majorBidi" w:eastAsiaTheme="majorEastAsia"/>
      <w:i/>
      <w:iCs/>
      <w:color w:themeColor="text1" w:themeTint="a6" w:val="595959"/>
    </w:rPr>
  </w:style>
  <w:style w:type="character" w:styleId="Naslov7Char" w:customStyle="1">
    <w:name w:val="Naslov 7 Char"/>
    <w:basedOn w:val="DefaultParagraphFont"/>
    <w:uiPriority w:val="9"/>
    <w:semiHidden/>
    <w:qFormat/>
    <w:rsid w:val="000946f1"/>
    <w:rPr>
      <w:rFonts w:eastAsia="" w:cs="" w:cstheme="majorBidi" w:eastAsiaTheme="majorEastAsia"/>
      <w:color w:themeColor="text1" w:themeTint="a6" w:val="595959"/>
    </w:rPr>
  </w:style>
  <w:style w:type="character" w:styleId="Naslov8Char" w:customStyle="1">
    <w:name w:val="Naslov 8 Char"/>
    <w:basedOn w:val="DefaultParagraphFont"/>
    <w:uiPriority w:val="9"/>
    <w:semiHidden/>
    <w:qFormat/>
    <w:rsid w:val="000946f1"/>
    <w:rPr>
      <w:rFonts w:eastAsia="" w:cs="" w:cstheme="majorBidi" w:eastAsiaTheme="majorEastAsia"/>
      <w:i/>
      <w:iCs/>
      <w:color w:themeColor="text1" w:themeTint="d8" w:val="272727"/>
    </w:rPr>
  </w:style>
  <w:style w:type="character" w:styleId="Naslov9Char" w:customStyle="1">
    <w:name w:val="Naslov 9 Char"/>
    <w:basedOn w:val="DefaultParagraphFont"/>
    <w:uiPriority w:val="9"/>
    <w:semiHidden/>
    <w:qFormat/>
    <w:rsid w:val="000946f1"/>
    <w:rPr>
      <w:rFonts w:eastAsia="" w:cs="" w:cstheme="majorBidi" w:eastAsiaTheme="majorEastAsia"/>
      <w:color w:themeColor="text1" w:themeTint="d8" w:val="272727"/>
    </w:rPr>
  </w:style>
  <w:style w:type="character" w:styleId="NaslovChar" w:customStyle="1">
    <w:name w:val="Naslov Char"/>
    <w:basedOn w:val="DefaultParagraphFont"/>
    <w:uiPriority w:val="10"/>
    <w:qFormat/>
    <w:rsid w:val="000946f1"/>
    <w:rPr>
      <w:rFonts w:ascii="Calibri Light" w:hAnsi="Calibri Light" w:eastAsia="" w:cs="" w:asciiTheme="majorHAnsi" w:cstheme="majorBidi" w:eastAsiaTheme="majorEastAsia" w:hAnsiTheme="majorHAnsi"/>
      <w:spacing w:val="-10"/>
      <w:kern w:val="2"/>
      <w:sz w:val="56"/>
      <w:szCs w:val="56"/>
    </w:rPr>
  </w:style>
  <w:style w:type="character" w:styleId="PodnaslovChar" w:customStyle="1">
    <w:name w:val="Podnaslov Char"/>
    <w:basedOn w:val="DefaultParagraphFont"/>
    <w:uiPriority w:val="11"/>
    <w:qFormat/>
    <w:rsid w:val="000946f1"/>
    <w:rPr>
      <w:rFonts w:eastAsia="" w:cs="" w:cstheme="majorBidi" w:eastAsiaTheme="majorEastAsia"/>
      <w:color w:themeColor="text1" w:themeTint="a6" w:val="595959"/>
      <w:spacing w:val="15"/>
      <w:sz w:val="28"/>
      <w:szCs w:val="28"/>
    </w:rPr>
  </w:style>
  <w:style w:type="character" w:styleId="CitatChar" w:customStyle="1">
    <w:name w:val="Citat Char"/>
    <w:basedOn w:val="DefaultParagraphFont"/>
    <w:link w:val="Quote"/>
    <w:uiPriority w:val="29"/>
    <w:qFormat/>
    <w:rsid w:val="000946f1"/>
    <w:rPr>
      <w:i/>
      <w:iCs/>
      <w:color w:themeColor="text1" w:themeTint="bf" w:val="404040"/>
    </w:rPr>
  </w:style>
  <w:style w:type="character" w:styleId="IntenseEmphasis">
    <w:name w:val="Intense Emphasis"/>
    <w:basedOn w:val="DefaultParagraphFont"/>
    <w:uiPriority w:val="21"/>
    <w:qFormat/>
    <w:rsid w:val="000946f1"/>
    <w:rPr>
      <w:i/>
      <w:iCs/>
      <w:color w:themeColor="accent1" w:themeShade="bf" w:val="2F5496"/>
    </w:rPr>
  </w:style>
  <w:style w:type="character" w:styleId="NaglaencitatChar" w:customStyle="1">
    <w:name w:val="Naglašen citat Char"/>
    <w:basedOn w:val="DefaultParagraphFont"/>
    <w:link w:val="IntenseQuote"/>
    <w:uiPriority w:val="30"/>
    <w:qFormat/>
    <w:rsid w:val="000946f1"/>
    <w:rPr>
      <w:i/>
      <w:iCs/>
      <w:color w:themeColor="accent1" w:themeShade="bf" w:val="2F5496"/>
    </w:rPr>
  </w:style>
  <w:style w:type="character" w:styleId="IntenseReference">
    <w:name w:val="Intense Reference"/>
    <w:basedOn w:val="DefaultParagraphFont"/>
    <w:uiPriority w:val="32"/>
    <w:qFormat/>
    <w:rsid w:val="000946f1"/>
    <w:rPr>
      <w:b/>
      <w:bCs/>
      <w:smallCaps/>
      <w:color w:themeColor="accent1" w:themeShade="bf" w:val="2F5496"/>
      <w:spacing w:val="5"/>
    </w:rPr>
  </w:style>
  <w:style w:type="paragraph" w:styleId="Stilnaslova">
    <w:name w:val="Stil naslova"/>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Stilnaslovauser">
    <w:name w:val="Stil naslova (user)"/>
    <w:basedOn w:val="Normal"/>
    <w:next w:val="BodyText"/>
    <w:qFormat/>
    <w:pPr>
      <w:keepNext w:val="true"/>
      <w:spacing w:before="240" w:after="120"/>
    </w:pPr>
    <w:rPr>
      <w:rFonts w:ascii="Liberation Sans" w:hAnsi="Liberation Sans" w:eastAsia="Microsoft YaHei" w:cs="Arial"/>
      <w:sz w:val="28"/>
      <w:szCs w:val="28"/>
    </w:rPr>
  </w:style>
  <w:style w:type="paragraph" w:styleId="Indeksuser">
    <w:name w:val="Indeks (user)"/>
    <w:basedOn w:val="Normal"/>
    <w:qFormat/>
    <w:pPr>
      <w:suppressLineNumbers/>
    </w:pPr>
    <w:rPr>
      <w:rFonts w:cs="Arial"/>
    </w:rPr>
  </w:style>
  <w:style w:type="paragraph" w:styleId="Title">
    <w:name w:val="Title"/>
    <w:basedOn w:val="Normal"/>
    <w:next w:val="Normal"/>
    <w:link w:val="NaslovChar"/>
    <w:uiPriority w:val="10"/>
    <w:qFormat/>
    <w:rsid w:val="000946f1"/>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PodnaslovChar"/>
    <w:uiPriority w:val="11"/>
    <w:qFormat/>
    <w:rsid w:val="000946f1"/>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tChar"/>
    <w:uiPriority w:val="29"/>
    <w:qFormat/>
    <w:rsid w:val="000946f1"/>
    <w:pPr>
      <w:spacing w:before="160" w:after="160"/>
      <w:jc w:val="center"/>
    </w:pPr>
    <w:rPr>
      <w:i/>
      <w:iCs/>
      <w:color w:themeColor="text1" w:themeTint="bf" w:val="404040"/>
    </w:rPr>
  </w:style>
  <w:style w:type="paragraph" w:styleId="ListParagraph">
    <w:name w:val="List Paragraph"/>
    <w:basedOn w:val="Normal"/>
    <w:uiPriority w:val="34"/>
    <w:qFormat/>
    <w:rsid w:val="000946f1"/>
    <w:pPr>
      <w:spacing w:before="0" w:after="160"/>
      <w:ind w:left="720"/>
      <w:contextualSpacing/>
    </w:pPr>
    <w:rPr/>
  </w:style>
  <w:style w:type="paragraph" w:styleId="IntenseQuote">
    <w:name w:val="Intense Quote"/>
    <w:basedOn w:val="Normal"/>
    <w:next w:val="Normal"/>
    <w:link w:val="NaglaencitatChar"/>
    <w:uiPriority w:val="30"/>
    <w:qFormat/>
    <w:rsid w:val="000946f1"/>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paragraph" w:styleId="box475758" w:customStyle="1">
    <w:name w:val="box_475758"/>
    <w:basedOn w:val="Normal"/>
    <w:qFormat/>
    <w:rsid w:val="00d62b79"/>
    <w:pPr>
      <w:spacing w:lineRule="auto" w:line="240" w:beforeAutospacing="1" w:afterAutospacing="1"/>
    </w:pPr>
    <w:rPr>
      <w:rFonts w:ascii="Times New Roman" w:hAnsi="Times New Roman" w:eastAsia="Times New Roman" w:cs="Times New Roman"/>
      <w:kern w:val="0"/>
      <w:lang w:val="hr-HR" w:eastAsia="hr-HR"/>
      <w14:ligatures w14:val="none"/>
    </w:rPr>
  </w:style>
  <w:style w:type="numbering" w:styleId="NoList" w:default="1">
    <w:name w:val="No List"/>
    <w:uiPriority w:val="99"/>
    <w:semiHidden/>
    <w:unhideWhenUsed/>
    <w:qFormat/>
  </w:style>
  <w:style w:type="table" w:default="1" w:styleId="Obinatablic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97</TotalTime>
  <Application>LibreOffice/25.2.7.2$Windows_X86_64 LibreOffice_project/5cbfd1ab6520636bb5f7b99185aa69bd7456825d</Application>
  <AppVersion>15.0000</AppVersion>
  <Pages>3</Pages>
  <Words>682</Words>
  <Characters>3875</Characters>
  <CharactersWithSpaces>4519</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2025-10-14T16:53:00Z</dcterms:created>
  <dc:creator>Frane</dc:creator>
  <dc:description/>
  <dc:language>hr-HR</dc:language>
  <cp:lastModifiedBy/>
  <cp:lastPrinted>2025-12-09T08:54:14Z</cp:lastPrinted>
  <dcterms:modified xsi:type="dcterms:W3CDTF">2025-12-09T08:57:53Z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