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u w:val="single"/>
          <w:shd w:fill="auto" w:val="clear"/>
        </w:rPr>
      </w:pPr>
      <w:r>
        <w:rPr>
          <w:b/>
          <w:bCs/>
          <w:sz w:val="28"/>
          <w:szCs w:val="28"/>
          <w:u w:val="single"/>
          <w:shd w:fill="auto" w:val="clear"/>
        </w:rPr>
        <w:t>Obrazloženje za objavu akta na javnom savjetovanju</w:t>
      </w:r>
    </w:p>
    <w:p>
      <w:pPr>
        <w:pStyle w:val="Normal"/>
        <w:jc w:val="left"/>
        <w:rPr>
          <w:b/>
          <w:bCs/>
        </w:rPr>
      </w:pPr>
      <w:r>
        <w:rPr>
          <w:b/>
          <w:bCs/>
        </w:rPr>
      </w:r>
    </w:p>
    <w:p>
      <w:pPr>
        <w:pStyle w:val="Normal"/>
        <w:jc w:val="both"/>
        <w:rPr>
          <w:rFonts w:ascii="Times New Roman" w:hAnsi="Times New Roman"/>
          <w:sz w:val="24"/>
          <w:szCs w:val="24"/>
          <w:shd w:fill="auto" w:val="clear"/>
        </w:rPr>
      </w:pPr>
      <w:r>
        <w:rPr>
          <w:sz w:val="24"/>
          <w:szCs w:val="24"/>
          <w:shd w:fill="auto" w:val="clear"/>
        </w:rPr>
        <w:t xml:space="preserve">Odredbom iz članka 66. stavka 1.  Zakona o gospodarenju otpadom (Narodne novine br. 84/21, 142/23;  dalje u tekstu: Zakon) propisano je da predstavničko tijelo jedinice lokalne samouprave na području primjene donosi Odluku o načinu pružanja usluge sakupljanja komunalnog otpada. </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Temeljem spomenute odredbe Zakona Općinsko vijeće Općine Vela Luka dana 3. ožujka 2022. donijelo je Odluku o načinu pružanja javne usluge sakupljanja komunalnog otpada na području Općine Vela Luka (Službeni glasnik Općine Vela Luka broj 5/22; dalje u tekstu: Odluka).</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Predmetnom Odlukom o izmjenama predlažu se izmjene važeće Odluke i to:</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 xml:space="preserve">- Članka 12. Odluke u kojem su određene jedinstvene cijene obvezne minimalne javne usluge za kategorije korisnika kućanstvo i korisnike koji nisu kućanstvo. </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 Članka 14. Odluke u kojem su određeni kriteriji i iznosi za umanjenje cijene javne usluge za kategorije korisnika kućanstvo i korisnike koji nisu kućanstvo.</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Obvezna minimalna javna usluga čini nužan dio sadržaja Odluke prema članku 66. stavku 1. točci 6. Zakona.</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Kriteriji za umanjenje cijene javne usluge ne čine dio sadržaja koji se može propisati Odlukom prema članku 66. stavku 2. točci 2. Zakona.</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Odluka bi započela s primjenom 01. siječnja 2026.g.</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t>Člankom 66. stavkom 4. Zakona i člankom 11. Zakona o pravu na pristup informacijama (Narodne novine br. 25/13,85/15,69/22) propisana je provedba prethodnog savjetovanja sa zainteresiranom javnošću u trajanju od najmanje 30 dana.</w:t>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b/>
          <w:bCs/>
          <w:sz w:val="24"/>
          <w:szCs w:val="24"/>
          <w:shd w:fill="auto" w:val="clear"/>
        </w:rPr>
      </w:pPr>
      <w:r>
        <w:rPr>
          <w:b/>
          <w:bCs/>
          <w:sz w:val="24"/>
          <w:szCs w:val="24"/>
          <w:shd w:fill="auto" w:val="clear"/>
        </w:rPr>
        <w:t>Obrazloženje načina na koji je određena cijena obvezne minimalne javne usluge.</w:t>
      </w:r>
    </w:p>
    <w:p>
      <w:pPr>
        <w:pStyle w:val="Normal"/>
        <w:jc w:val="both"/>
        <w:rPr>
          <w:rFonts w:ascii="Times New Roman" w:hAnsi="Times New Roman"/>
          <w:b/>
          <w:bCs/>
          <w:sz w:val="24"/>
          <w:szCs w:val="24"/>
          <w:shd w:fill="auto" w:val="clear"/>
        </w:rPr>
      </w:pPr>
      <w:r>
        <w:rPr>
          <w:b/>
          <w:bCs/>
          <w:sz w:val="24"/>
          <w:szCs w:val="24"/>
          <w:shd w:fill="auto" w:val="clear"/>
        </w:rPr>
      </w:r>
    </w:p>
    <w:p>
      <w:pPr>
        <w:pStyle w:val="Normal"/>
        <w:spacing w:lineRule="auto" w:line="240"/>
        <w:jc w:val="both"/>
        <w:rPr>
          <w:shd w:fill="auto" w:val="clear"/>
        </w:rPr>
      </w:pPr>
      <w:r>
        <w:rPr>
          <w:rFonts w:ascii="TimesNewRomanPSMT" w:hAnsi="TimesNewRomanPSMT"/>
          <w:b w:val="false"/>
          <w:bCs w:val="false"/>
          <w:color w:val="000000"/>
          <w:sz w:val="24"/>
          <w:shd w:fill="auto" w:val="clear"/>
        </w:rPr>
        <w:t>Obvezna minimalna javna usluga (dalje u tekstu: MJU) je iznos koji se osigurava radi ekonomski održivog poslovanja te sigurnosti, redovitosti i kvalitete pružanja javne usluge, kako bi sustav sakupljanja komunalnog otpada mogao ispuniti svoju svrhu. Cijena obvezne minimalne javne usluge je određena kao ukupni trošak provedbe navedenih usluga podijeljen s brojem korisnika minimalne javne usluge, uzimajući pritom u obzir procijenjeni broj korisnika koji će ostvariti pravo na umanjenje cijene minimalne javne usluge.</w:t>
      </w:r>
    </w:p>
    <w:p>
      <w:pPr>
        <w:pStyle w:val="Normal"/>
        <w:spacing w:lineRule="auto" w:line="240"/>
        <w:jc w:val="both"/>
        <w:rPr>
          <w:shd w:fill="auto" w:val="clear"/>
        </w:rPr>
      </w:pPr>
      <w:r>
        <w:rPr>
          <w:shd w:fill="auto" w:val="clear"/>
        </w:rPr>
      </w:r>
    </w:p>
    <w:p>
      <w:pPr>
        <w:pStyle w:val="Normal"/>
        <w:spacing w:lineRule="auto" w:line="240"/>
        <w:jc w:val="both"/>
        <w:rPr>
          <w:shd w:fill="auto" w:val="clear"/>
        </w:rPr>
      </w:pPr>
      <w:r>
        <w:rPr>
          <w:rFonts w:ascii="TimesNewRomanPSMT" w:hAnsi="TimesNewRomanPSMT"/>
          <w:b w:val="false"/>
          <w:bCs w:val="false"/>
          <w:color w:val="000000"/>
          <w:sz w:val="24"/>
          <w:shd w:fill="auto" w:val="clear"/>
        </w:rPr>
        <w:t>Temeljem članka važeće 12. Odluke propisan je iznos MJU za kategoriju kućanstvo u iznosu 80,00 HRK/10,62 EUR, a za kategoriju nekućanstvo u iznosu 500,00 HRK/66,36 EUR dok su člankom 14. Odluke propisani kriteriji za umanjenje cijene javne usluge.</w:t>
      </w:r>
    </w:p>
    <w:p>
      <w:pPr>
        <w:pStyle w:val="Normal"/>
        <w:spacing w:lineRule="auto" w:line="240"/>
        <w:jc w:val="both"/>
        <w:rPr>
          <w:shd w:fill="auto" w:val="clear"/>
        </w:rPr>
      </w:pPr>
      <w:r>
        <w:rPr>
          <w:shd w:fill="auto" w:val="clear"/>
        </w:rPr>
      </w:r>
    </w:p>
    <w:p>
      <w:pPr>
        <w:pStyle w:val="Normal"/>
        <w:spacing w:lineRule="auto" w:line="240"/>
        <w:jc w:val="both"/>
        <w:rPr>
          <w:shd w:fill="auto" w:val="clear"/>
        </w:rPr>
      </w:pPr>
      <w:r>
        <w:rPr>
          <w:rFonts w:ascii="TimesNewRomanPSMT" w:hAnsi="TimesNewRomanPSMT"/>
          <w:b w:val="false"/>
          <w:bCs w:val="false"/>
          <w:color w:val="000000"/>
          <w:sz w:val="24"/>
          <w:shd w:fill="auto" w:val="clear"/>
        </w:rPr>
        <w:t>Navedeni iznosi formirani su temeljem troškova KOMUNALNIH DJELATNOSTI d.o.o. iz poslovne godine 2021. kojima se raspolagalo početkom 2022.g. prilikom izračuna MJU, koja od tada nije  mijenjana. Važeći cjenik usluga iz 2022.g. koji obuhvaća cijenu preuzimanja otpada također nije mijenjan. U izračun troškova na temelju kojih je formirana predložena cijena podrazumijeva</w:t>
      </w:r>
      <w:r>
        <w:rPr>
          <w:shd w:fill="auto" w:val="clear"/>
        </w:rPr>
        <w:t xml:space="preserve"> sirovine i materijale, održavanje vozila, plaće i naknade, uredski materijal, poštanske i ostale usluge, usluge održavanja programskog rješenja, troškove deponija i troškove za ustupljene radnike.</w:t>
      </w:r>
    </w:p>
    <w:p>
      <w:pPr>
        <w:pStyle w:val="Normal"/>
        <w:spacing w:lineRule="auto" w:line="240"/>
        <w:jc w:val="both"/>
        <w:rPr>
          <w:rFonts w:ascii="TimesNewRomanPSMT" w:hAnsi="TimesNewRomanPSMT"/>
          <w:b w:val="false"/>
          <w:bCs w:val="false"/>
          <w:color w:val="000000"/>
          <w:sz w:val="24"/>
          <w:shd w:fill="auto" w:val="clear"/>
        </w:rPr>
      </w:pPr>
      <w:r>
        <w:rPr>
          <w:rFonts w:ascii="TimesNewRomanPSMT" w:hAnsi="TimesNewRomanPSMT"/>
          <w:b w:val="false"/>
          <w:bCs w:val="false"/>
          <w:color w:val="000000"/>
          <w:sz w:val="24"/>
          <w:shd w:fill="auto" w:val="clear"/>
        </w:rPr>
      </w:r>
    </w:p>
    <w:p>
      <w:pPr>
        <w:pStyle w:val="Normal"/>
        <w:spacing w:lineRule="auto" w:line="240"/>
        <w:jc w:val="both"/>
        <w:rPr>
          <w:b/>
          <w:bCs/>
          <w:shd w:fill="auto" w:val="clear"/>
        </w:rPr>
      </w:pPr>
      <w:r>
        <w:rPr>
          <w:b/>
          <w:bCs/>
          <w:shd w:fill="auto" w:val="clear"/>
        </w:rPr>
        <w:t>Ulaganja u sustav</w:t>
      </w:r>
    </w:p>
    <w:p>
      <w:pPr>
        <w:pStyle w:val="Normal"/>
        <w:spacing w:lineRule="auto" w:line="240"/>
        <w:jc w:val="both"/>
        <w:rPr>
          <w:b/>
          <w:bCs/>
          <w:shd w:fill="auto" w:val="clear"/>
        </w:rPr>
      </w:pPr>
      <w:r>
        <w:rPr>
          <w:b/>
          <w:bCs/>
          <w:shd w:fill="auto" w:val="clear"/>
        </w:rPr>
      </w:r>
    </w:p>
    <w:p>
      <w:pPr>
        <w:pStyle w:val="Normal"/>
        <w:spacing w:lineRule="auto" w:line="240"/>
        <w:jc w:val="both"/>
        <w:rPr>
          <w:shd w:fill="auto" w:val="clear"/>
        </w:rPr>
      </w:pPr>
      <w:r>
        <w:rPr>
          <w:shd w:fill="auto" w:val="clear"/>
        </w:rPr>
        <w:t>U periodu od 2022-2025.g. KOMUNALNE DJELATNOSTI d.o.o. izvršilo je sljedeća ulaganja u sustav gospodarenja otpadom;</w:t>
      </w:r>
    </w:p>
    <w:p>
      <w:pPr>
        <w:pStyle w:val="Normal"/>
        <w:spacing w:lineRule="auto" w:line="240"/>
        <w:jc w:val="both"/>
        <w:rPr>
          <w:b/>
          <w:bCs/>
          <w:shd w:fill="auto" w:val="clear"/>
        </w:rPr>
      </w:pPr>
      <w:r>
        <w:rPr>
          <w:b/>
          <w:bCs/>
          <w:shd w:fill="auto" w:val="clear"/>
        </w:rPr>
      </w:r>
    </w:p>
    <w:p>
      <w:pPr>
        <w:pStyle w:val="Normal"/>
        <w:spacing w:lineRule="auto" w:line="240"/>
        <w:jc w:val="both"/>
        <w:rPr>
          <w:b/>
          <w:bCs/>
          <w:shd w:fill="auto" w:val="clear"/>
        </w:rPr>
      </w:pPr>
      <w:r>
        <w:rPr>
          <w:b/>
          <w:bCs/>
          <w:shd w:fill="auto" w:val="clear"/>
        </w:rPr>
        <w:t>2022.g.</w:t>
      </w:r>
    </w:p>
    <w:p>
      <w:pPr>
        <w:pStyle w:val="Normal"/>
        <w:spacing w:lineRule="auto" w:line="240"/>
        <w:jc w:val="both"/>
        <w:rPr>
          <w:shd w:fill="auto" w:val="clear"/>
        </w:rPr>
      </w:pPr>
      <w:r>
        <w:rPr>
          <w:shd w:fill="auto" w:val="clear"/>
        </w:rPr>
        <w:t>- Nabavka 300 komada spremnika za MKO od 120 l i 30 komada spremnika za MKO od 240 l u iznosu   od 5.587,10 EUR,</w:t>
      </w:r>
    </w:p>
    <w:p>
      <w:pPr>
        <w:pStyle w:val="Normal"/>
        <w:spacing w:lineRule="auto" w:line="240"/>
        <w:jc w:val="both"/>
        <w:rPr>
          <w:shd w:fill="auto" w:val="clear"/>
        </w:rPr>
      </w:pPr>
      <w:r>
        <w:rPr>
          <w:shd w:fill="auto" w:val="clear"/>
        </w:rPr>
        <w:t>- Nabavka 25 komada spremnika za MKO od 1100 l u iznosu 6.370,69 EUR,</w:t>
      </w:r>
    </w:p>
    <w:p>
      <w:pPr>
        <w:pStyle w:val="Normal"/>
        <w:spacing w:lineRule="auto" w:line="240"/>
        <w:jc w:val="both"/>
        <w:rPr>
          <w:shd w:fill="auto" w:val="clear"/>
        </w:rPr>
      </w:pPr>
      <w:r>
        <w:rPr>
          <w:shd w:fill="auto" w:val="clear"/>
        </w:rPr>
      </w:r>
    </w:p>
    <w:p>
      <w:pPr>
        <w:pStyle w:val="Normal"/>
        <w:spacing w:lineRule="auto" w:line="240"/>
        <w:jc w:val="both"/>
        <w:rPr>
          <w:b/>
          <w:bCs/>
          <w:shd w:fill="auto" w:val="clear"/>
        </w:rPr>
      </w:pPr>
      <w:r>
        <w:rPr>
          <w:b/>
          <w:bCs/>
          <w:shd w:fill="auto" w:val="clear"/>
        </w:rPr>
        <w:t>2023.g.</w:t>
      </w:r>
    </w:p>
    <w:p>
      <w:pPr>
        <w:pStyle w:val="Normal"/>
        <w:spacing w:lineRule="auto" w:line="240"/>
        <w:jc w:val="both"/>
        <w:rPr>
          <w:b/>
          <w:bCs/>
          <w:shd w:fill="auto" w:val="clear"/>
        </w:rPr>
      </w:pPr>
      <w:r>
        <w:rPr>
          <w:b/>
          <w:bCs/>
          <w:shd w:fill="auto" w:val="clear"/>
        </w:rPr>
        <w:t xml:space="preserve">- </w:t>
      </w:r>
      <w:r>
        <w:rPr>
          <w:b w:val="false"/>
          <w:bCs w:val="false"/>
          <w:shd w:fill="auto" w:val="clear"/>
        </w:rPr>
        <w:t>Nabavka 300 komada spremnika za MKO od 120 l i 30 komada spremnika za MKO od 240 l u iznosu od 7.446,60 EUR,</w:t>
      </w:r>
    </w:p>
    <w:p>
      <w:pPr>
        <w:pStyle w:val="Normal"/>
        <w:spacing w:lineRule="auto" w:line="240"/>
        <w:jc w:val="both"/>
        <w:rPr>
          <w:shd w:fill="auto" w:val="clear"/>
        </w:rPr>
      </w:pPr>
      <w:r>
        <w:rPr>
          <w:shd w:fill="auto" w:val="clear"/>
        </w:rPr>
        <w:t>- Nabavka 6 komada spremnika za MKO od 1100 l u iznosu 3.634,00 EUR,</w:t>
      </w:r>
    </w:p>
    <w:p>
      <w:pPr>
        <w:pStyle w:val="Normal"/>
        <w:spacing w:lineRule="auto" w:line="240"/>
        <w:jc w:val="both"/>
        <w:rPr>
          <w:shd w:fill="auto" w:val="clear"/>
        </w:rPr>
      </w:pPr>
      <w:r>
        <w:rPr>
          <w:shd w:fill="auto" w:val="clear"/>
        </w:rPr>
        <w:t>- Nabavka kamiona za sakupljanje otpada Mitsubishi Fuso, financirano putem financijskog leasinga, u iznosu 79.900,00 EUR.</w:t>
      </w:r>
    </w:p>
    <w:p>
      <w:pPr>
        <w:pStyle w:val="Normal"/>
        <w:spacing w:lineRule="auto" w:line="240"/>
        <w:jc w:val="both"/>
        <w:rPr>
          <w:shd w:fill="auto" w:val="clear"/>
        </w:rPr>
      </w:pPr>
      <w:r>
        <w:rPr>
          <w:shd w:fill="auto" w:val="clear"/>
        </w:rPr>
      </w:r>
    </w:p>
    <w:p>
      <w:pPr>
        <w:pStyle w:val="Normal"/>
        <w:spacing w:lineRule="auto" w:line="240"/>
        <w:jc w:val="both"/>
        <w:rPr>
          <w:b/>
          <w:bCs/>
          <w:shd w:fill="auto" w:val="clear"/>
        </w:rPr>
      </w:pPr>
      <w:r>
        <w:rPr>
          <w:b/>
          <w:bCs/>
          <w:shd w:fill="auto" w:val="clear"/>
        </w:rPr>
        <w:t>2024.g.</w:t>
      </w:r>
    </w:p>
    <w:p>
      <w:pPr>
        <w:pStyle w:val="Normal"/>
        <w:spacing w:lineRule="auto" w:line="240"/>
        <w:jc w:val="both"/>
        <w:rPr>
          <w:shd w:fill="auto" w:val="clear"/>
        </w:rPr>
      </w:pPr>
      <w:r>
        <w:rPr>
          <w:shd w:fill="auto" w:val="clear"/>
        </w:rPr>
        <w:t>- Nabavka 200 komada spremnika za MKO od 120 l i 20 komada spremnika za MKO od 240 l u iznosu   od 5.960,00 EUR.</w:t>
      </w:r>
    </w:p>
    <w:p>
      <w:pPr>
        <w:pStyle w:val="Normal"/>
        <w:spacing w:lineRule="auto" w:line="240"/>
        <w:jc w:val="both"/>
        <w:rPr>
          <w:shd w:fill="auto" w:val="clear"/>
        </w:rPr>
      </w:pPr>
      <w:r>
        <w:rPr>
          <w:shd w:fill="auto" w:val="clear"/>
        </w:rPr>
      </w:r>
    </w:p>
    <w:p>
      <w:pPr>
        <w:pStyle w:val="Normal"/>
        <w:spacing w:lineRule="auto" w:line="240"/>
        <w:jc w:val="both"/>
        <w:rPr>
          <w:b/>
          <w:bCs/>
          <w:shd w:fill="auto" w:val="clear"/>
        </w:rPr>
      </w:pPr>
      <w:r>
        <w:rPr>
          <w:b/>
          <w:bCs/>
          <w:shd w:fill="auto" w:val="clear"/>
        </w:rPr>
        <w:t>2025.g.</w:t>
      </w:r>
    </w:p>
    <w:p>
      <w:pPr>
        <w:pStyle w:val="Normal"/>
        <w:spacing w:lineRule="auto" w:line="240"/>
        <w:jc w:val="both"/>
        <w:rPr>
          <w:b/>
          <w:bCs/>
          <w:shd w:fill="auto" w:val="clear"/>
        </w:rPr>
      </w:pPr>
      <w:r>
        <w:rPr>
          <w:b/>
          <w:bCs/>
          <w:shd w:fill="auto" w:val="clear"/>
        </w:rPr>
        <w:t xml:space="preserve">- </w:t>
      </w:r>
      <w:r>
        <w:rPr>
          <w:b w:val="false"/>
          <w:bCs w:val="false"/>
          <w:shd w:fill="auto" w:val="clear"/>
        </w:rPr>
        <w:t>Nabavka 25 komada spremnika za MKO od 1100 l u iznosu 11.685,00 EUR,</w:t>
      </w:r>
    </w:p>
    <w:p>
      <w:pPr>
        <w:pStyle w:val="Normal"/>
        <w:spacing w:lineRule="auto" w:line="240"/>
        <w:jc w:val="both"/>
        <w:rPr>
          <w:shd w:fill="auto" w:val="clear"/>
        </w:rPr>
      </w:pPr>
      <w:r>
        <w:rPr>
          <w:b w:val="false"/>
          <w:bCs w:val="false"/>
          <w:shd w:fill="auto" w:val="clear"/>
        </w:rPr>
        <w:t>- Najam vozila PIAGGIO, finacirano putem operativnog leasinga; zaključno do 30.09.2025. trošak iznosi 2.964,00 EUR.</w:t>
      </w:r>
    </w:p>
    <w:p>
      <w:pPr>
        <w:pStyle w:val="Normal"/>
        <w:spacing w:lineRule="auto" w:line="240"/>
        <w:jc w:val="both"/>
        <w:rPr>
          <w:b w:val="false"/>
          <w:bCs w:val="false"/>
        </w:rPr>
      </w:pPr>
      <w:r>
        <w:rPr>
          <w:b w:val="false"/>
          <w:bCs w:val="false"/>
        </w:rPr>
      </w:r>
    </w:p>
    <w:p>
      <w:pPr>
        <w:pStyle w:val="Normal"/>
        <w:spacing w:lineRule="auto" w:line="240"/>
        <w:jc w:val="both"/>
        <w:rPr/>
      </w:pPr>
      <w:r>
        <w:rPr/>
      </w:r>
    </w:p>
    <w:p>
      <w:pPr>
        <w:pStyle w:val="Normal"/>
        <w:spacing w:lineRule="auto" w:line="240"/>
        <w:jc w:val="both"/>
        <w:rPr>
          <w:b/>
          <w:bCs/>
          <w:shd w:fill="auto" w:val="clear"/>
        </w:rPr>
      </w:pPr>
      <w:r>
        <w:rPr>
          <w:b/>
          <w:bCs/>
          <w:shd w:fill="auto" w:val="clear"/>
        </w:rPr>
        <w:t>Troškovi plaća</w:t>
      </w:r>
    </w:p>
    <w:p>
      <w:pPr>
        <w:pStyle w:val="Normal"/>
        <w:spacing w:lineRule="auto" w:line="240"/>
        <w:jc w:val="both"/>
        <w:rPr>
          <w:shd w:fill="auto" w:val="clear"/>
        </w:rPr>
      </w:pPr>
      <w:r>
        <w:rPr>
          <w:b w:val="false"/>
          <w:bCs w:val="false"/>
          <w:shd w:fill="auto" w:val="clear"/>
        </w:rPr>
        <w:t xml:space="preserve">Na poslovima sakupljanja otpada stalno su angažirani 3 tima, po 2 ili 3 djelatnika, ovisno o potrebama. Rast plaća 9 radnika raspoređenim na poslovima sakupljanja otpada kao i 3 radnika uprave raspoređenim na računovodstvenim i administrativnim poslovima vezanima za ovu djelatnosti potaknut je povećavanjem minimalne bruto plaće u Republici Hrvatskoj. </w:t>
      </w:r>
      <w:r>
        <w:rPr>
          <w:shd w:fill="auto" w:val="clear"/>
        </w:rPr>
        <w:t xml:space="preserve">Bruto mininalna plaća u Republici Hrvatskoj u 2021.g. iznosila je 4.250,00 HRK/564,07 EUR dok bruto minimalna plaća u Republici Hrvatskoj u 2025.g. iznosi 970,00 EUR. Minimalna bruto plaća u Republici Hrvatskoj porasla je za približno 72% od 2021. do 2025. godine. Minimalna bruto plaća u 2026..g., u kojoj se planira primjena ove predložene Odluke;  još uvijek nije donesena. </w:t>
      </w:r>
    </w:p>
    <w:p>
      <w:pPr>
        <w:pStyle w:val="Normal"/>
        <w:spacing w:lineRule="auto" w:line="240"/>
        <w:jc w:val="both"/>
        <w:rPr>
          <w:shd w:fill="auto" w:val="clear"/>
        </w:rPr>
      </w:pPr>
      <w:r>
        <w:rPr>
          <w:shd w:fill="auto" w:val="clear"/>
        </w:rPr>
      </w:r>
    </w:p>
    <w:p>
      <w:pPr>
        <w:pStyle w:val="Normal"/>
        <w:jc w:val="both"/>
        <w:rPr>
          <w:rFonts w:ascii="Times New Roman" w:hAnsi="Times New Roman"/>
          <w:b/>
          <w:bCs/>
          <w:sz w:val="20"/>
          <w:szCs w:val="20"/>
        </w:rPr>
      </w:pPr>
      <w:r>
        <w:rPr>
          <w:b/>
          <w:bCs/>
          <w:sz w:val="20"/>
          <w:szCs w:val="20"/>
          <w:shd w:fill="auto" w:val="clear"/>
        </w:rPr>
        <w:t>Tablica 1.  Analitika troškova plaća radnika raspoređenih na poslovima sakupljanja otpada u periodu od 2022.-2025.</w:t>
      </w:r>
    </w:p>
    <w:p>
      <w:pPr>
        <w:pStyle w:val="Normal"/>
        <w:jc w:val="both"/>
        <w:rPr>
          <w:shd w:fill="auto" w:val="clear"/>
        </w:rPr>
      </w:pPr>
      <w:r>
        <w:rPr>
          <w:shd w:fill="auto" w:val="clear"/>
        </w:rPr>
      </w:r>
    </w:p>
    <w:tbl>
      <w:tblPr>
        <w:tblW w:w="5000" w:type="pct"/>
        <w:jc w:val="left"/>
        <w:tblInd w:w="-5" w:type="dxa"/>
        <w:tblLayout w:type="fixed"/>
        <w:tblCellMar>
          <w:top w:w="55" w:type="dxa"/>
          <w:left w:w="55" w:type="dxa"/>
          <w:bottom w:w="55" w:type="dxa"/>
          <w:right w:w="55" w:type="dxa"/>
        </w:tblCellMar>
      </w:tblPr>
      <w:tblGrid>
        <w:gridCol w:w="5002"/>
        <w:gridCol w:w="5002"/>
      </w:tblGrid>
      <w:tr>
        <w:trPr/>
        <w:tc>
          <w:tcPr>
            <w:tcW w:w="5002" w:type="dxa"/>
            <w:tcBorders>
              <w:top w:val="single" w:sz="4" w:space="0" w:color="000000"/>
              <w:left w:val="single" w:sz="4" w:space="0" w:color="000000"/>
              <w:bottom w:val="single" w:sz="4" w:space="0" w:color="000000"/>
            </w:tcBorders>
          </w:tcPr>
          <w:p>
            <w:pPr>
              <w:pStyle w:val="Sadrajitabliceuser"/>
              <w:jc w:val="center"/>
              <w:rPr>
                <w:rFonts w:ascii="Times New Roman" w:hAnsi="Times New Roman"/>
                <w:b/>
                <w:bCs/>
                <w:sz w:val="24"/>
                <w:szCs w:val="24"/>
              </w:rPr>
            </w:pPr>
            <w:r>
              <w:rPr>
                <w:b/>
                <w:bCs/>
                <w:sz w:val="24"/>
                <w:szCs w:val="24"/>
              </w:rPr>
              <w:t>Poslovna godina</w:t>
            </w:r>
          </w:p>
        </w:tc>
        <w:tc>
          <w:tcPr>
            <w:tcW w:w="5002" w:type="dxa"/>
            <w:tcBorders>
              <w:top w:val="single" w:sz="4" w:space="0" w:color="000000"/>
              <w:left w:val="single" w:sz="4" w:space="0" w:color="000000"/>
              <w:bottom w:val="single" w:sz="4" w:space="0" w:color="000000"/>
              <w:right w:val="single" w:sz="4" w:space="0" w:color="000000"/>
            </w:tcBorders>
          </w:tcPr>
          <w:p>
            <w:pPr>
              <w:pStyle w:val="Sadrajitabliceuser"/>
              <w:jc w:val="center"/>
              <w:rPr>
                <w:rFonts w:ascii="Times New Roman" w:hAnsi="Times New Roman"/>
                <w:b/>
                <w:bCs/>
                <w:sz w:val="24"/>
                <w:szCs w:val="24"/>
              </w:rPr>
            </w:pPr>
            <w:r>
              <w:rPr>
                <w:b/>
                <w:bCs/>
                <w:sz w:val="24"/>
                <w:szCs w:val="24"/>
              </w:rPr>
              <w:t>Trošak (EUR)</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rPr>
            </w:pPr>
            <w:r>
              <w:rPr>
                <w:sz w:val="24"/>
                <w:szCs w:val="24"/>
              </w:rPr>
              <w:t>2022</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128.165,54*</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rPr>
            </w:pPr>
            <w:r>
              <w:rPr>
                <w:sz w:val="24"/>
                <w:szCs w:val="24"/>
              </w:rPr>
              <w:t>2023</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143.011,86</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rPr>
            </w:pPr>
            <w:r>
              <w:rPr>
                <w:sz w:val="24"/>
                <w:szCs w:val="24"/>
              </w:rPr>
              <w:t>2024</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200.654,30</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rPr>
            </w:pPr>
            <w:r>
              <w:rPr>
                <w:sz w:val="24"/>
                <w:szCs w:val="24"/>
              </w:rPr>
              <w:t xml:space="preserve">  </w:t>
            </w:r>
            <w:r>
              <w:rPr>
                <w:sz w:val="24"/>
                <w:szCs w:val="24"/>
              </w:rPr>
              <w:t>2025**</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174.878,50</w:t>
            </w:r>
          </w:p>
        </w:tc>
      </w:tr>
    </w:tbl>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rFonts w:ascii="Times New Roman" w:hAnsi="Times New Roman"/>
          <w:b/>
          <w:bCs/>
          <w:sz w:val="20"/>
          <w:szCs w:val="20"/>
          <w:shd w:fill="auto" w:val="clear"/>
        </w:rPr>
      </w:pPr>
      <w:r>
        <w:rPr>
          <w:b/>
          <w:bCs/>
          <w:sz w:val="20"/>
          <w:szCs w:val="20"/>
          <w:shd w:fill="auto" w:val="clear"/>
        </w:rPr>
        <w:t>*  965.663,27 HRK</w:t>
      </w:r>
    </w:p>
    <w:p>
      <w:pPr>
        <w:pStyle w:val="Normal"/>
        <w:jc w:val="both"/>
        <w:rPr>
          <w:rFonts w:ascii="Times New Roman" w:hAnsi="Times New Roman"/>
          <w:b/>
          <w:bCs/>
          <w:sz w:val="20"/>
          <w:szCs w:val="20"/>
        </w:rPr>
      </w:pPr>
      <w:r>
        <w:rPr>
          <w:b/>
          <w:bCs/>
          <w:sz w:val="20"/>
          <w:szCs w:val="20"/>
          <w:shd w:fill="auto" w:val="clear"/>
        </w:rPr>
        <w:t>**Zaključno do 31.08.2025.</w:t>
      </w:r>
    </w:p>
    <w:p>
      <w:pPr>
        <w:pStyle w:val="Normal"/>
        <w:spacing w:lineRule="auto" w:line="240"/>
        <w:jc w:val="both"/>
        <w:rPr>
          <w:shd w:fill="auto" w:val="clear"/>
        </w:rPr>
      </w:pPr>
      <w:r>
        <w:rPr>
          <w:shd w:fill="auto" w:val="clear"/>
        </w:rPr>
      </w:r>
    </w:p>
    <w:p>
      <w:pPr>
        <w:pStyle w:val="Normal"/>
        <w:spacing w:lineRule="auto" w:line="240"/>
        <w:jc w:val="both"/>
        <w:rPr>
          <w:shd w:fill="auto" w:val="clear"/>
        </w:rPr>
      </w:pPr>
      <w:r>
        <w:rPr>
          <w:b/>
          <w:bCs/>
          <w:shd w:fill="auto" w:val="clear"/>
        </w:rPr>
        <w:t xml:space="preserve">Troškovi odlagališta otpada </w:t>
      </w:r>
    </w:p>
    <w:p>
      <w:pPr>
        <w:pStyle w:val="Normal"/>
        <w:spacing w:lineRule="auto" w:line="240"/>
        <w:jc w:val="both"/>
        <w:rPr>
          <w:b w:val="false"/>
          <w:bCs w:val="false"/>
          <w:shd w:fill="auto" w:val="clear"/>
        </w:rPr>
      </w:pPr>
      <w:r>
        <w:rPr>
          <w:b w:val="false"/>
          <w:bCs w:val="false"/>
          <w:shd w:fill="auto" w:val="clear"/>
        </w:rPr>
        <w:t xml:space="preserve">Redovni godišnji troškovi odlagališta otpada Sitnica podrazumijevaju trošak njegovog korištenja, održavanja i upravljanja (obveze praćenja emisija i ostale obveze, nadzor odlagališta) i trošak plaće zaposlenika. Nabavkom kompaktora zajedničkom investicijom Općine Vela Luka i Općine Blato 2023.g. došlo je do dodatnog povećanja troškova KOMUNALNIH DJELATNOSTI d.o.o., prvenstveno kroz angažmana radnika za rad na stroju te troškova goriva i održavanja.  </w:t>
      </w:r>
    </w:p>
    <w:p>
      <w:pPr>
        <w:pStyle w:val="Normal"/>
        <w:spacing w:lineRule="auto" w:line="240"/>
        <w:jc w:val="both"/>
        <w:rPr>
          <w:b w:val="false"/>
          <w:bCs w:val="false"/>
          <w:shd w:fill="auto" w:val="clear"/>
        </w:rPr>
      </w:pPr>
      <w:r>
        <w:rPr>
          <w:b w:val="false"/>
          <w:bCs w:val="false"/>
          <w:shd w:fill="auto" w:val="clear"/>
        </w:rPr>
      </w:r>
    </w:p>
    <w:p>
      <w:pPr>
        <w:pStyle w:val="Normal"/>
        <w:jc w:val="both"/>
        <w:rPr>
          <w:rFonts w:ascii="Times New Roman" w:hAnsi="Times New Roman"/>
          <w:b/>
          <w:bCs/>
          <w:sz w:val="20"/>
          <w:szCs w:val="20"/>
          <w:shd w:fill="auto" w:val="clear"/>
        </w:rPr>
      </w:pPr>
      <w:r>
        <w:rPr>
          <w:b/>
          <w:bCs/>
          <w:sz w:val="20"/>
          <w:szCs w:val="20"/>
          <w:shd w:fill="auto" w:val="clear"/>
        </w:rPr>
        <w:t>Tablica 2.  Analitika troškova odlagališta otpada u periodu od 2022.-2025.</w:t>
      </w:r>
    </w:p>
    <w:p>
      <w:pPr>
        <w:pStyle w:val="Normal"/>
        <w:jc w:val="both"/>
        <w:rPr>
          <w:rFonts w:ascii="Times New Roman" w:hAnsi="Times New Roman"/>
          <w:b/>
          <w:bCs/>
          <w:sz w:val="20"/>
          <w:szCs w:val="20"/>
          <w:shd w:fill="76FF03" w:val="clear"/>
        </w:rPr>
      </w:pPr>
      <w:r>
        <w:rPr>
          <w:b/>
          <w:bCs/>
          <w:sz w:val="20"/>
          <w:szCs w:val="20"/>
          <w:shd w:fill="76FF03" w:val="clear"/>
        </w:rPr>
      </w:r>
    </w:p>
    <w:tbl>
      <w:tblPr>
        <w:tblW w:w="5000" w:type="pct"/>
        <w:jc w:val="left"/>
        <w:tblInd w:w="-5" w:type="dxa"/>
        <w:tblLayout w:type="fixed"/>
        <w:tblCellMar>
          <w:top w:w="55" w:type="dxa"/>
          <w:left w:w="55" w:type="dxa"/>
          <w:bottom w:w="55" w:type="dxa"/>
          <w:right w:w="55" w:type="dxa"/>
        </w:tblCellMar>
      </w:tblPr>
      <w:tblGrid>
        <w:gridCol w:w="5002"/>
        <w:gridCol w:w="5002"/>
      </w:tblGrid>
      <w:tr>
        <w:trPr/>
        <w:tc>
          <w:tcPr>
            <w:tcW w:w="5002" w:type="dxa"/>
            <w:tcBorders>
              <w:top w:val="single" w:sz="4" w:space="0" w:color="000000"/>
              <w:left w:val="single" w:sz="4" w:space="0" w:color="000000"/>
              <w:bottom w:val="single" w:sz="4" w:space="0" w:color="000000"/>
            </w:tcBorders>
          </w:tcPr>
          <w:p>
            <w:pPr>
              <w:pStyle w:val="Sadrajitabliceuser"/>
              <w:jc w:val="center"/>
              <w:rPr>
                <w:rFonts w:ascii="Times New Roman" w:hAnsi="Times New Roman"/>
                <w:b/>
                <w:bCs/>
                <w:sz w:val="24"/>
                <w:szCs w:val="24"/>
                <w:shd w:fill="auto" w:val="clear"/>
              </w:rPr>
            </w:pPr>
            <w:r>
              <w:rPr>
                <w:b/>
                <w:bCs/>
                <w:sz w:val="24"/>
                <w:szCs w:val="24"/>
                <w:shd w:fill="auto" w:val="clear"/>
              </w:rPr>
              <w:t>Poslovna godina</w:t>
            </w:r>
          </w:p>
        </w:tc>
        <w:tc>
          <w:tcPr>
            <w:tcW w:w="5002" w:type="dxa"/>
            <w:tcBorders>
              <w:top w:val="single" w:sz="4" w:space="0" w:color="000000"/>
              <w:left w:val="single" w:sz="4" w:space="0" w:color="000000"/>
              <w:bottom w:val="single" w:sz="4" w:space="0" w:color="000000"/>
              <w:right w:val="single" w:sz="4" w:space="0" w:color="000000"/>
            </w:tcBorders>
          </w:tcPr>
          <w:p>
            <w:pPr>
              <w:pStyle w:val="Sadrajitabliceuser"/>
              <w:jc w:val="center"/>
              <w:rPr>
                <w:rFonts w:ascii="Times New Roman" w:hAnsi="Times New Roman"/>
                <w:b/>
                <w:bCs/>
                <w:sz w:val="24"/>
                <w:szCs w:val="24"/>
                <w:shd w:fill="auto" w:val="clear"/>
              </w:rPr>
            </w:pPr>
            <w:r>
              <w:rPr>
                <w:b/>
                <w:bCs/>
                <w:sz w:val="24"/>
                <w:szCs w:val="24"/>
                <w:shd w:fill="auto" w:val="clear"/>
              </w:rPr>
              <w:t>Trošak (EUR)</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2022</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 xml:space="preserve">  </w:t>
            </w:r>
            <w:r>
              <w:rPr>
                <w:sz w:val="24"/>
                <w:szCs w:val="24"/>
                <w:shd w:fill="auto" w:val="clear"/>
              </w:rPr>
              <w:t>61.111,79*</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2023</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17.514,82</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2024</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27.815,39</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 xml:space="preserve">   </w:t>
            </w:r>
            <w:r>
              <w:rPr>
                <w:sz w:val="24"/>
                <w:szCs w:val="24"/>
                <w:shd w:fill="auto" w:val="clear"/>
              </w:rPr>
              <w:t>2025**</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highlight w:val="none"/>
                <w:shd w:fill="auto" w:val="clear"/>
              </w:rPr>
            </w:pPr>
            <w:r>
              <w:rPr>
                <w:sz w:val="24"/>
                <w:szCs w:val="24"/>
                <w:shd w:fill="auto" w:val="clear"/>
              </w:rPr>
              <w:t>33.572,09</w:t>
            </w:r>
          </w:p>
        </w:tc>
      </w:tr>
    </w:tbl>
    <w:p>
      <w:pPr>
        <w:pStyle w:val="Normal"/>
        <w:jc w:val="both"/>
        <w:rPr>
          <w:rFonts w:ascii="Times New Roman" w:hAnsi="Times New Roman"/>
          <w:b/>
          <w:bCs/>
          <w:sz w:val="20"/>
          <w:szCs w:val="20"/>
          <w:shd w:fill="76FF03" w:val="clear"/>
        </w:rPr>
      </w:pPr>
      <w:r>
        <w:rPr>
          <w:b/>
          <w:bCs/>
          <w:sz w:val="20"/>
          <w:szCs w:val="20"/>
          <w:shd w:fill="76FF03" w:val="clear"/>
        </w:rPr>
      </w:r>
    </w:p>
    <w:p>
      <w:pPr>
        <w:pStyle w:val="Normal"/>
        <w:jc w:val="both"/>
        <w:rPr>
          <w:rFonts w:ascii="Times New Roman" w:hAnsi="Times New Roman"/>
          <w:b/>
          <w:bCs/>
          <w:sz w:val="20"/>
          <w:szCs w:val="20"/>
          <w:shd w:fill="auto" w:val="clear"/>
        </w:rPr>
      </w:pPr>
      <w:r>
        <w:rPr>
          <w:b/>
          <w:bCs/>
          <w:sz w:val="20"/>
          <w:szCs w:val="20"/>
          <w:shd w:fill="auto" w:val="clear"/>
        </w:rPr>
        <w:t>* 460.446,61 HRK</w:t>
      </w:r>
    </w:p>
    <w:p>
      <w:pPr>
        <w:pStyle w:val="Normal"/>
        <w:jc w:val="both"/>
        <w:rPr>
          <w:rFonts w:ascii="Times New Roman" w:hAnsi="Times New Roman"/>
          <w:b/>
          <w:bCs/>
          <w:sz w:val="20"/>
          <w:szCs w:val="20"/>
          <w:shd w:fill="auto" w:val="clear"/>
        </w:rPr>
      </w:pPr>
      <w:r>
        <w:rPr>
          <w:b/>
          <w:bCs/>
          <w:sz w:val="20"/>
          <w:szCs w:val="20"/>
          <w:shd w:fill="auto" w:val="clear"/>
        </w:rPr>
        <w:t>**Zaključno do 30.09.2025.</w:t>
      </w:r>
    </w:p>
    <w:p>
      <w:pPr>
        <w:pStyle w:val="Normal"/>
        <w:spacing w:lineRule="auto" w:line="240"/>
        <w:jc w:val="both"/>
        <w:rPr>
          <w:b w:val="false"/>
          <w:bCs w:val="false"/>
          <w:shd w:fill="auto" w:val="clear"/>
        </w:rPr>
      </w:pPr>
      <w:r>
        <w:rPr>
          <w:b w:val="false"/>
          <w:bCs w:val="false"/>
          <w:shd w:fill="auto" w:val="clear"/>
        </w:rPr>
      </w:r>
    </w:p>
    <w:p>
      <w:pPr>
        <w:pStyle w:val="Normal"/>
        <w:spacing w:lineRule="auto" w:line="240"/>
        <w:jc w:val="both"/>
        <w:rPr>
          <w:b/>
          <w:bCs/>
          <w:shd w:fill="auto" w:val="clear"/>
        </w:rPr>
      </w:pPr>
      <w:r>
        <w:rPr>
          <w:b/>
          <w:bCs/>
          <w:shd w:fill="auto" w:val="clear"/>
        </w:rPr>
      </w:r>
    </w:p>
    <w:p>
      <w:pPr>
        <w:pStyle w:val="Normal"/>
        <w:spacing w:lineRule="auto" w:line="240"/>
        <w:jc w:val="both"/>
        <w:rPr>
          <w:b/>
          <w:bCs/>
          <w:shd w:fill="auto" w:val="clear"/>
        </w:rPr>
      </w:pPr>
      <w:r>
        <w:rPr>
          <w:b/>
          <w:bCs/>
          <w:shd w:fill="auto" w:val="clear"/>
        </w:rPr>
        <w:t>Troškovi reciklažnog dvorišta</w:t>
      </w:r>
    </w:p>
    <w:p>
      <w:pPr>
        <w:pStyle w:val="Normal"/>
        <w:spacing w:lineRule="auto" w:line="240"/>
        <w:jc w:val="both"/>
        <w:rPr>
          <w:b/>
          <w:bCs/>
          <w:shd w:fill="auto" w:val="clear"/>
        </w:rPr>
      </w:pPr>
      <w:r>
        <w:rPr>
          <w:b/>
          <w:bCs/>
          <w:shd w:fill="auto" w:val="clear"/>
        </w:rPr>
      </w:r>
    </w:p>
    <w:p>
      <w:pPr>
        <w:pStyle w:val="Normal"/>
        <w:spacing w:lineRule="auto" w:line="240"/>
        <w:jc w:val="both"/>
        <w:rPr>
          <w:shd w:fill="auto" w:val="clear"/>
        </w:rPr>
      </w:pPr>
      <w:r>
        <w:rPr>
          <w:shd w:fill="auto" w:val="clear"/>
        </w:rPr>
        <w:t>Troškovi reciklažnog dvorišta podrazumijevaju podrazumijevaju trošak njegovog korštenja, održavanja i upravljanja i trošak plaće zaposlenika. Najveći trošak se odnosi na uklanjanje, odvoz i zbrinjavanje  glomaznog otpada. KOMUNALNE DJELATNOSTI d.o.o. ne ostvaruju neposredne prihode od rada reciklažnog dvorišta obzirom da je besplatna usluga korištenja reciklažnog dvorištu uključena u okviru javne usluge za sve korisnike s područja Općine Vela Luka.</w:t>
      </w:r>
    </w:p>
    <w:p>
      <w:pPr>
        <w:pStyle w:val="Normal"/>
        <w:spacing w:lineRule="auto" w:line="240"/>
        <w:jc w:val="both"/>
        <w:rPr>
          <w:shd w:fill="auto" w:val="clear"/>
        </w:rPr>
      </w:pPr>
      <w:r>
        <w:rPr>
          <w:shd w:fill="auto" w:val="clear"/>
        </w:rPr>
      </w:r>
    </w:p>
    <w:p>
      <w:pPr>
        <w:pStyle w:val="Normal"/>
        <w:jc w:val="both"/>
        <w:rPr>
          <w:rFonts w:ascii="Times New Roman" w:hAnsi="Times New Roman"/>
          <w:b/>
          <w:bCs/>
          <w:sz w:val="20"/>
          <w:szCs w:val="20"/>
          <w:shd w:fill="auto" w:val="clear"/>
        </w:rPr>
      </w:pPr>
      <w:r>
        <w:rPr>
          <w:b/>
          <w:bCs/>
          <w:sz w:val="20"/>
          <w:szCs w:val="20"/>
          <w:shd w:fill="auto" w:val="clear"/>
        </w:rPr>
        <w:t>Tablica 3.  Analitika troškova reciklažnog dvorišta u periodu od 2022.-2025.</w:t>
      </w:r>
    </w:p>
    <w:p>
      <w:pPr>
        <w:pStyle w:val="Normal"/>
        <w:jc w:val="both"/>
        <w:rPr>
          <w:rFonts w:ascii="Times New Roman" w:hAnsi="Times New Roman"/>
          <w:b/>
          <w:bCs/>
          <w:sz w:val="20"/>
          <w:szCs w:val="20"/>
          <w:shd w:fill="auto" w:val="clear"/>
        </w:rPr>
      </w:pPr>
      <w:r>
        <w:rPr>
          <w:b/>
          <w:bCs/>
          <w:sz w:val="20"/>
          <w:szCs w:val="20"/>
          <w:shd w:fill="auto" w:val="clear"/>
        </w:rPr>
      </w:r>
    </w:p>
    <w:tbl>
      <w:tblPr>
        <w:tblW w:w="5000" w:type="pct"/>
        <w:jc w:val="left"/>
        <w:tblInd w:w="-5" w:type="dxa"/>
        <w:tblLayout w:type="fixed"/>
        <w:tblCellMar>
          <w:top w:w="55" w:type="dxa"/>
          <w:left w:w="55" w:type="dxa"/>
          <w:bottom w:w="55" w:type="dxa"/>
          <w:right w:w="55" w:type="dxa"/>
        </w:tblCellMar>
      </w:tblPr>
      <w:tblGrid>
        <w:gridCol w:w="5002"/>
        <w:gridCol w:w="5002"/>
      </w:tblGrid>
      <w:tr>
        <w:trPr/>
        <w:tc>
          <w:tcPr>
            <w:tcW w:w="5002" w:type="dxa"/>
            <w:tcBorders>
              <w:top w:val="single" w:sz="4" w:space="0" w:color="000000"/>
              <w:left w:val="single" w:sz="4" w:space="0" w:color="000000"/>
              <w:bottom w:val="single" w:sz="4" w:space="0" w:color="000000"/>
            </w:tcBorders>
          </w:tcPr>
          <w:p>
            <w:pPr>
              <w:pStyle w:val="Sadrajitabliceuser"/>
              <w:jc w:val="center"/>
              <w:rPr>
                <w:rFonts w:ascii="Times New Roman" w:hAnsi="Times New Roman"/>
                <w:b/>
                <w:bCs/>
                <w:sz w:val="24"/>
                <w:szCs w:val="24"/>
                <w:shd w:fill="auto" w:val="clear"/>
              </w:rPr>
            </w:pPr>
            <w:r>
              <w:rPr>
                <w:b/>
                <w:bCs/>
                <w:sz w:val="24"/>
                <w:szCs w:val="24"/>
                <w:shd w:fill="auto" w:val="clear"/>
              </w:rPr>
              <w:t>Poslovna godina</w:t>
            </w:r>
          </w:p>
        </w:tc>
        <w:tc>
          <w:tcPr>
            <w:tcW w:w="5002" w:type="dxa"/>
            <w:tcBorders>
              <w:top w:val="single" w:sz="4" w:space="0" w:color="000000"/>
              <w:left w:val="single" w:sz="4" w:space="0" w:color="000000"/>
              <w:bottom w:val="single" w:sz="4" w:space="0" w:color="000000"/>
              <w:right w:val="single" w:sz="4" w:space="0" w:color="000000"/>
            </w:tcBorders>
          </w:tcPr>
          <w:p>
            <w:pPr>
              <w:pStyle w:val="Sadrajitabliceuser"/>
              <w:jc w:val="center"/>
              <w:rPr>
                <w:rFonts w:ascii="Times New Roman" w:hAnsi="Times New Roman"/>
                <w:b/>
                <w:bCs/>
                <w:sz w:val="24"/>
                <w:szCs w:val="24"/>
                <w:shd w:fill="auto" w:val="clear"/>
              </w:rPr>
            </w:pPr>
            <w:r>
              <w:rPr>
                <w:b/>
                <w:bCs/>
                <w:sz w:val="24"/>
                <w:szCs w:val="24"/>
                <w:shd w:fill="auto" w:val="clear"/>
              </w:rPr>
              <w:t>Trošak (EUR)</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2022</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 xml:space="preserve">   </w:t>
            </w:r>
            <w:r>
              <w:rPr>
                <w:sz w:val="24"/>
                <w:szCs w:val="24"/>
                <w:shd w:fill="auto" w:val="clear"/>
              </w:rPr>
              <w:t>46.141,70 *</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2023</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57.321,43</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2024</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40.309,70</w:t>
            </w:r>
          </w:p>
        </w:tc>
      </w:tr>
      <w:tr>
        <w:trPr/>
        <w:tc>
          <w:tcPr>
            <w:tcW w:w="5002" w:type="dxa"/>
            <w:tcBorders>
              <w:left w:val="single" w:sz="4" w:space="0" w:color="000000"/>
              <w:bottom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 xml:space="preserve">   </w:t>
            </w:r>
            <w:r>
              <w:rPr>
                <w:sz w:val="24"/>
                <w:szCs w:val="24"/>
                <w:shd w:fill="auto" w:val="clear"/>
              </w:rPr>
              <w:t>2025**</w:t>
            </w:r>
          </w:p>
        </w:tc>
        <w:tc>
          <w:tcPr>
            <w:tcW w:w="5002" w:type="dxa"/>
            <w:tcBorders>
              <w:left w:val="single" w:sz="4" w:space="0" w:color="000000"/>
              <w:bottom w:val="single" w:sz="4" w:space="0" w:color="000000"/>
              <w:right w:val="single" w:sz="4" w:space="0" w:color="000000"/>
            </w:tcBorders>
          </w:tcPr>
          <w:p>
            <w:pPr>
              <w:pStyle w:val="Sadrajitabliceuser"/>
              <w:jc w:val="center"/>
              <w:rPr>
                <w:rFonts w:ascii="Times New Roman" w:hAnsi="Times New Roman"/>
                <w:sz w:val="24"/>
                <w:szCs w:val="24"/>
                <w:shd w:fill="auto" w:val="clear"/>
              </w:rPr>
            </w:pPr>
            <w:r>
              <w:rPr>
                <w:sz w:val="24"/>
                <w:szCs w:val="24"/>
                <w:shd w:fill="auto" w:val="clear"/>
              </w:rPr>
              <w:t>41.138,98</w:t>
            </w:r>
          </w:p>
        </w:tc>
      </w:tr>
    </w:tbl>
    <w:p>
      <w:pPr>
        <w:pStyle w:val="Normal"/>
        <w:jc w:val="both"/>
        <w:rPr>
          <w:rFonts w:ascii="Times New Roman" w:hAnsi="Times New Roman"/>
          <w:b/>
          <w:bCs/>
          <w:sz w:val="20"/>
          <w:szCs w:val="20"/>
          <w:shd w:fill="auto" w:val="clear"/>
        </w:rPr>
      </w:pPr>
      <w:r>
        <w:rPr>
          <w:b/>
          <w:bCs/>
          <w:sz w:val="20"/>
          <w:szCs w:val="20"/>
          <w:shd w:fill="auto" w:val="clear"/>
        </w:rPr>
      </w:r>
    </w:p>
    <w:p>
      <w:pPr>
        <w:pStyle w:val="Normal"/>
        <w:jc w:val="both"/>
        <w:rPr>
          <w:rFonts w:ascii="Times New Roman" w:hAnsi="Times New Roman"/>
          <w:b/>
          <w:bCs/>
          <w:sz w:val="20"/>
          <w:szCs w:val="20"/>
        </w:rPr>
      </w:pPr>
      <w:r>
        <w:rPr>
          <w:b/>
          <w:bCs/>
          <w:sz w:val="20"/>
          <w:szCs w:val="20"/>
          <w:shd w:fill="auto" w:val="clear"/>
        </w:rPr>
        <w:t>*  347.654,61 HRK</w:t>
      </w:r>
    </w:p>
    <w:p>
      <w:pPr>
        <w:pStyle w:val="Normal"/>
        <w:jc w:val="both"/>
        <w:rPr>
          <w:rFonts w:ascii="Times New Roman" w:hAnsi="Times New Roman"/>
          <w:b/>
          <w:bCs/>
          <w:sz w:val="20"/>
          <w:szCs w:val="20"/>
        </w:rPr>
      </w:pPr>
      <w:r>
        <w:rPr>
          <w:b/>
          <w:bCs/>
          <w:sz w:val="20"/>
          <w:szCs w:val="20"/>
        </w:rPr>
        <w:t>**Zaključno do 30.09.2025.</w:t>
      </w:r>
    </w:p>
    <w:p>
      <w:pPr>
        <w:pStyle w:val="Normal"/>
        <w:spacing w:lineRule="auto" w:line="240"/>
        <w:jc w:val="both"/>
        <w:rPr>
          <w:b/>
          <w:bCs/>
          <w:shd w:fill="auto" w:val="clear"/>
        </w:rPr>
      </w:pPr>
      <w:r>
        <w:rPr>
          <w:b/>
          <w:bCs/>
          <w:shd w:fill="auto"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76FF03" w:val="clear"/>
        </w:rPr>
      </w:pPr>
      <w:r>
        <w:rPr>
          <w:b/>
          <w:bCs/>
          <w:shd w:fill="76FF03" w:val="clear"/>
        </w:rPr>
      </w:r>
    </w:p>
    <w:p>
      <w:pPr>
        <w:pStyle w:val="Normal"/>
        <w:spacing w:lineRule="auto" w:line="240"/>
        <w:jc w:val="both"/>
        <w:rPr>
          <w:b/>
          <w:bCs/>
          <w:shd w:fill="auto" w:val="clear"/>
        </w:rPr>
      </w:pPr>
      <w:r>
        <w:rPr>
          <w:b/>
          <w:bCs/>
          <w:shd w:fill="auto" w:val="clear"/>
        </w:rPr>
        <w:t>Naknada za odlaganje miješanog komunalnog otpada</w:t>
      </w:r>
    </w:p>
    <w:p>
      <w:pPr>
        <w:pStyle w:val="Normal"/>
        <w:spacing w:lineRule="auto" w:line="240"/>
        <w:jc w:val="both"/>
        <w:rPr>
          <w:b w:val="false"/>
          <w:bCs w:val="false"/>
          <w:shd w:fill="auto" w:val="clear"/>
        </w:rPr>
      </w:pPr>
      <w:r>
        <w:rPr>
          <w:b w:val="false"/>
          <w:bCs w:val="false"/>
          <w:shd w:fill="auto" w:val="clear"/>
        </w:rPr>
        <w:t>Temeljem Uredbe Vlade Republike Hrvatske o jediničnoj naknadi za odlaganje otpada (Narodne novine br. 137/2024) od 2025.g. pravna osoba koja upravlja odlagalištem obvezna je u korist Fonda za zaštitu okoliša i energetsku učinkovitost uplaćivati naknadu na odlaganje otpada. Naknada za odlaganje jedne tone otpada iznosi:</w:t>
      </w:r>
    </w:p>
    <w:p>
      <w:pPr>
        <w:pStyle w:val="Normal"/>
        <w:spacing w:lineRule="auto" w:line="240"/>
        <w:jc w:val="both"/>
        <w:rPr>
          <w:b w:val="false"/>
          <w:bCs w:val="false"/>
          <w:shd w:fill="auto" w:val="clear"/>
        </w:rPr>
      </w:pPr>
      <w:r>
        <w:rPr>
          <w:b w:val="false"/>
          <w:bCs w:val="false"/>
          <w:shd w:fill="auto" w:val="clear"/>
        </w:rPr>
        <w:t>- 30,00 eura za 2025. godinu</w:t>
      </w:r>
    </w:p>
    <w:p>
      <w:pPr>
        <w:pStyle w:val="Normal"/>
        <w:spacing w:lineRule="auto" w:line="240"/>
        <w:jc w:val="both"/>
        <w:rPr>
          <w:b w:val="false"/>
          <w:bCs w:val="false"/>
          <w:shd w:fill="auto" w:val="clear"/>
        </w:rPr>
      </w:pPr>
      <w:r>
        <w:rPr>
          <w:b w:val="false"/>
          <w:bCs w:val="false"/>
          <w:shd w:fill="auto" w:val="clear"/>
        </w:rPr>
        <w:t>- 35,00 eura za 2026. godinu</w:t>
      </w:r>
    </w:p>
    <w:p>
      <w:pPr>
        <w:pStyle w:val="Normal"/>
        <w:spacing w:lineRule="auto" w:line="240"/>
        <w:jc w:val="both"/>
        <w:rPr>
          <w:b w:val="false"/>
          <w:bCs w:val="false"/>
          <w:shd w:fill="auto" w:val="clear"/>
        </w:rPr>
      </w:pPr>
      <w:r>
        <w:rPr>
          <w:b w:val="false"/>
          <w:bCs w:val="false"/>
          <w:shd w:fill="auto" w:val="clear"/>
        </w:rPr>
        <w:t>- 40,00 eura za 2027. godinu</w:t>
      </w:r>
    </w:p>
    <w:p>
      <w:pPr>
        <w:pStyle w:val="Normal"/>
        <w:spacing w:lineRule="auto" w:line="240"/>
        <w:jc w:val="both"/>
        <w:rPr>
          <w:b w:val="false"/>
          <w:bCs w:val="false"/>
          <w:shd w:fill="auto" w:val="clear"/>
        </w:rPr>
      </w:pPr>
      <w:r>
        <w:rPr>
          <w:b w:val="false"/>
          <w:bCs w:val="false"/>
          <w:shd w:fill="auto" w:val="clear"/>
        </w:rPr>
        <w:t>- 45,00 eura za 2028. godinu</w:t>
      </w:r>
    </w:p>
    <w:p>
      <w:pPr>
        <w:pStyle w:val="Normal"/>
        <w:spacing w:lineRule="auto" w:line="240"/>
        <w:jc w:val="both"/>
        <w:rPr>
          <w:b w:val="false"/>
          <w:bCs w:val="false"/>
          <w:shd w:fill="auto" w:val="clear"/>
        </w:rPr>
      </w:pPr>
      <w:r>
        <w:rPr>
          <w:b w:val="false"/>
          <w:bCs w:val="false"/>
          <w:shd w:fill="auto" w:val="clear"/>
        </w:rPr>
        <w:t>- 50,00 eura za 2029. godinu i nadalje.</w:t>
      </w:r>
    </w:p>
    <w:p>
      <w:pPr>
        <w:pStyle w:val="Normal"/>
        <w:spacing w:lineRule="auto" w:line="240"/>
        <w:jc w:val="both"/>
        <w:rPr>
          <w:b w:val="false"/>
          <w:bCs w:val="false"/>
          <w:shd w:fill="auto" w:val="clear"/>
        </w:rPr>
      </w:pPr>
      <w:r>
        <w:rPr>
          <w:b w:val="false"/>
          <w:bCs w:val="false"/>
          <w:shd w:fill="auto" w:val="clear"/>
        </w:rPr>
      </w:r>
    </w:p>
    <w:p>
      <w:pPr>
        <w:pStyle w:val="Normal"/>
        <w:spacing w:lineRule="auto" w:line="240"/>
        <w:jc w:val="both"/>
        <w:rPr>
          <w:b w:val="false"/>
          <w:bCs w:val="false"/>
          <w:shd w:fill="auto" w:val="clear"/>
        </w:rPr>
      </w:pPr>
      <w:r>
        <w:rPr>
          <w:b w:val="false"/>
          <w:bCs w:val="false"/>
          <w:shd w:fill="auto" w:val="clear"/>
        </w:rPr>
        <w:t>Prema procjenama količine odloženog otpada od cca: 1.212 t/godišnje ova naknada za 2025.g. godinu koja dospijeva KOMUNALNIM DJELATNOSTIMA d.o.o. početkom 2026.g. iznosit će 36.600,00 EUR.</w:t>
      </w:r>
    </w:p>
    <w:p>
      <w:pPr>
        <w:pStyle w:val="Normal"/>
        <w:spacing w:lineRule="auto" w:line="240"/>
        <w:jc w:val="both"/>
        <w:rPr>
          <w:shd w:fill="auto" w:val="clear"/>
        </w:rPr>
      </w:pPr>
      <w:r>
        <w:rPr>
          <w:shd w:fill="auto" w:val="clear"/>
        </w:rPr>
      </w:r>
    </w:p>
    <w:p>
      <w:pPr>
        <w:pStyle w:val="Normal"/>
        <w:jc w:val="both"/>
        <w:rPr>
          <w:rFonts w:ascii="Times New Roman" w:hAnsi="Times New Roman"/>
          <w:strike w:val="false"/>
          <w:dstrike w:val="false"/>
          <w:sz w:val="24"/>
          <w:szCs w:val="24"/>
          <w:shd w:fill="auto" w:val="clear"/>
        </w:rPr>
      </w:pPr>
      <w:r>
        <w:rPr>
          <w:strike w:val="false"/>
          <w:dstrike w:val="false"/>
          <w:sz w:val="24"/>
          <w:szCs w:val="24"/>
          <w:shd w:fill="auto" w:val="clear"/>
        </w:rPr>
      </w:r>
    </w:p>
    <w:p>
      <w:pPr>
        <w:pStyle w:val="Normal"/>
        <w:jc w:val="both"/>
        <w:rPr>
          <w:rFonts w:ascii="Times New Roman" w:hAnsi="Times New Roman"/>
          <w:b/>
          <w:bCs/>
          <w:strike w:val="false"/>
          <w:dstrike w:val="false"/>
          <w:sz w:val="24"/>
          <w:szCs w:val="24"/>
          <w:shd w:fill="auto" w:val="clear"/>
        </w:rPr>
      </w:pPr>
      <w:r>
        <w:rPr>
          <w:b/>
          <w:bCs/>
          <w:strike w:val="false"/>
          <w:dstrike w:val="false"/>
          <w:sz w:val="24"/>
          <w:szCs w:val="24"/>
          <w:shd w:fill="auto" w:val="clear"/>
        </w:rPr>
        <w:t>Tekući trošak i projekcija prihoda</w:t>
      </w:r>
    </w:p>
    <w:p>
      <w:pPr>
        <w:pStyle w:val="Normal"/>
        <w:jc w:val="both"/>
        <w:rPr>
          <w:rFonts w:ascii="Times New Roman" w:hAnsi="Times New Roman"/>
          <w:b/>
          <w:bCs/>
          <w:strike w:val="false"/>
          <w:dstrike w:val="false"/>
          <w:sz w:val="24"/>
          <w:szCs w:val="24"/>
          <w:shd w:fill="auto" w:val="clear"/>
        </w:rPr>
      </w:pPr>
      <w:r>
        <w:rPr>
          <w:b/>
          <w:bCs/>
          <w:strike w:val="false"/>
          <w:dstrike w:val="false"/>
          <w:sz w:val="24"/>
          <w:szCs w:val="24"/>
          <w:shd w:fill="auto" w:val="clear"/>
        </w:rPr>
      </w:r>
    </w:p>
    <w:p>
      <w:pPr>
        <w:pStyle w:val="Normal"/>
        <w:jc w:val="both"/>
        <w:rPr>
          <w:rFonts w:ascii="Times New Roman" w:hAnsi="Times New Roman"/>
          <w:strike w:val="false"/>
          <w:dstrike w:val="false"/>
          <w:sz w:val="24"/>
          <w:szCs w:val="24"/>
          <w:shd w:fill="auto" w:val="clear"/>
        </w:rPr>
      </w:pPr>
      <w:r>
        <w:rPr>
          <w:strike w:val="false"/>
          <w:dstrike w:val="false"/>
          <w:sz w:val="24"/>
          <w:szCs w:val="24"/>
          <w:shd w:fill="auto" w:val="clear"/>
        </w:rPr>
        <w:t>U nastavku su prikazani troškovi gospodarenja otpadom u tekućoj poslovnoj godini kao na temelju kojih je izračunata cijena MJU. Prikazana je i projekcija prihoda koja bi se ostvarila predloženom cijenom minimalne javne usluge i pripadajućim cjenikom koji će se donijeti po prihvaćanju predloženih izmjena Odluke. Priložena je i usporedba sa cijenama javne usluge sakupljanja otpada sa gradovima i općinama u blizini. Usprkos povećanju cijene KOMUNALNE DJELATNOSTI d.o.o. od ostvarenih prihoda neće biti u stanju podmirivati sve nastale troškove javne usluge. Kao i do sada, Općina Vela Luka će preuzimati dio troškova, prvenstveno vezanih za troškove reciklažnog dvorišta.</w:t>
      </w:r>
    </w:p>
    <w:p>
      <w:pPr>
        <w:pStyle w:val="Normal"/>
        <w:jc w:val="both"/>
        <w:rPr>
          <w:rFonts w:ascii="Times New Roman" w:hAnsi="Times New Roman"/>
          <w:b/>
          <w:bCs/>
          <w:sz w:val="20"/>
          <w:szCs w:val="20"/>
          <w:shd w:fill="auto" w:val="clear"/>
        </w:rPr>
      </w:pPr>
      <w:r>
        <w:rPr>
          <w:b/>
          <w:bCs/>
          <w:sz w:val="20"/>
          <w:szCs w:val="20"/>
          <w:shd w:fill="auto" w:val="clear"/>
        </w:rPr>
      </w:r>
    </w:p>
    <w:p>
      <w:pPr>
        <w:pStyle w:val="Normal"/>
        <w:jc w:val="both"/>
        <w:rPr>
          <w:rFonts w:ascii="Times New Roman" w:hAnsi="Times New Roman"/>
          <w:b/>
          <w:bCs/>
          <w:sz w:val="20"/>
          <w:szCs w:val="20"/>
          <w:shd w:fill="auto" w:val="clear"/>
        </w:rPr>
      </w:pPr>
      <w:r>
        <w:rPr>
          <w:b/>
          <w:bCs/>
          <w:sz w:val="20"/>
          <w:szCs w:val="20"/>
          <w:shd w:fill="auto" w:val="clear"/>
        </w:rPr>
      </w:r>
    </w:p>
    <w:p>
      <w:pPr>
        <w:pStyle w:val="Normal"/>
        <w:jc w:val="both"/>
        <w:rPr>
          <w:rFonts w:ascii="Times New Roman" w:hAnsi="Times New Roman"/>
          <w:b/>
          <w:bCs/>
          <w:sz w:val="20"/>
          <w:szCs w:val="20"/>
          <w:shd w:fill="auto" w:val="clear"/>
        </w:rPr>
      </w:pPr>
      <w:r>
        <w:rPr>
          <w:b/>
          <w:bCs/>
          <w:sz w:val="20"/>
          <w:szCs w:val="20"/>
          <w:shd w:fill="auto" w:val="clear"/>
        </w:rPr>
        <w:t>Tablica 4.  Izračun troškova gospodarenja otpadom u 2025.godini</w:t>
      </w:r>
    </w:p>
    <w:tbl>
      <w:tblPr>
        <w:tblW w:w="5000" w:type="pct"/>
        <w:jc w:val="left"/>
        <w:tblInd w:w="-7" w:type="dxa"/>
        <w:tblLayout w:type="fixed"/>
        <w:tblCellMar>
          <w:top w:w="55" w:type="dxa"/>
          <w:left w:w="55" w:type="dxa"/>
          <w:bottom w:w="55" w:type="dxa"/>
          <w:right w:w="55" w:type="dxa"/>
        </w:tblCellMar>
      </w:tblPr>
      <w:tblGrid>
        <w:gridCol w:w="3331"/>
        <w:gridCol w:w="3337"/>
        <w:gridCol w:w="3337"/>
      </w:tblGrid>
      <w:tr>
        <w:trPr/>
        <w:tc>
          <w:tcPr>
            <w:tcW w:w="10005" w:type="dxa"/>
            <w:gridSpan w:val="3"/>
            <w:tcBorders>
              <w:top w:val="single" w:sz="6" w:space="0" w:color="000000"/>
              <w:left w:val="single" w:sz="6" w:space="0" w:color="000000"/>
              <w:bottom w:val="single" w:sz="6" w:space="0" w:color="000000"/>
              <w:right w:val="single" w:sz="6" w:space="0" w:color="000000"/>
            </w:tcBorders>
          </w:tcPr>
          <w:p>
            <w:pPr>
              <w:pStyle w:val="Sadrajitabliceuser"/>
              <w:jc w:val="both"/>
              <w:rPr>
                <w:rFonts w:ascii="Times New Roman" w:hAnsi="Times New Roman"/>
                <w:sz w:val="24"/>
                <w:szCs w:val="24"/>
                <w:shd w:fill="auto" w:val="clear"/>
              </w:rPr>
            </w:pPr>
            <w:r>
              <w:rPr>
                <w:sz w:val="24"/>
                <w:szCs w:val="24"/>
                <w:shd w:fill="auto" w:val="clear"/>
              </w:rPr>
              <w:t xml:space="preserve">                                   </w:t>
            </w:r>
            <w:r>
              <w:rPr>
                <w:sz w:val="24"/>
                <w:szCs w:val="24"/>
                <w:shd w:fill="auto" w:val="clear"/>
              </w:rPr>
              <w:t>Izračun troškova gospodarenja otpadom u 2025.godini</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 xml:space="preserve">               </w:t>
            </w:r>
            <w:r>
              <w:rPr>
                <w:b/>
                <w:bCs/>
                <w:sz w:val="24"/>
                <w:szCs w:val="24"/>
                <w:shd w:fill="auto" w:val="clear"/>
              </w:rPr>
              <w:t>TROŠAK</w:t>
            </w:r>
          </w:p>
        </w:tc>
        <w:tc>
          <w:tcPr>
            <w:tcW w:w="3337"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 xml:space="preserve">            </w:t>
            </w:r>
            <w:r>
              <w:rPr>
                <w:b/>
                <w:bCs/>
                <w:sz w:val="24"/>
                <w:szCs w:val="24"/>
                <w:shd w:fill="auto" w:val="clear"/>
              </w:rPr>
              <w:t>OPIS TROŠKA</w:t>
            </w:r>
          </w:p>
        </w:tc>
        <w:tc>
          <w:tcPr>
            <w:tcW w:w="3337" w:type="dxa"/>
            <w:tcBorders>
              <w:left w:val="single" w:sz="6" w:space="0" w:color="000000"/>
              <w:bottom w:val="single" w:sz="6" w:space="0" w:color="000000"/>
              <w:right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 xml:space="preserve">             </w:t>
            </w:r>
            <w:r>
              <w:rPr>
                <w:b/>
                <w:bCs/>
                <w:sz w:val="24"/>
                <w:szCs w:val="24"/>
                <w:shd w:fill="auto" w:val="clear"/>
              </w:rPr>
              <w:t>IZNOS (EUR)</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Odvoz otpada</w:t>
            </w:r>
          </w:p>
        </w:tc>
        <w:tc>
          <w:tcPr>
            <w:tcW w:w="3337" w:type="dxa"/>
            <w:tcBorders>
              <w:left w:val="single" w:sz="6" w:space="0" w:color="000000"/>
              <w:bottom w:val="single" w:sz="6" w:space="0" w:color="000000"/>
            </w:tcBorders>
          </w:tcPr>
          <w:p>
            <w:pPr>
              <w:pStyle w:val="Sadrajitabliceuser"/>
              <w:jc w:val="center"/>
              <w:rPr>
                <w:rFonts w:ascii="Times New Roman" w:hAnsi="Times New Roman"/>
                <w:sz w:val="24"/>
                <w:szCs w:val="24"/>
                <w:shd w:fill="auto" w:val="clear"/>
              </w:rPr>
            </w:pPr>
            <w:r>
              <w:rPr>
                <w:sz w:val="24"/>
                <w:szCs w:val="24"/>
                <w:shd w:fill="auto" w:val="clear"/>
              </w:rPr>
              <w:t>Sirovine i materijali, održavanje vozila, plaće i naknade</w:t>
            </w:r>
          </w:p>
        </w:tc>
        <w:tc>
          <w:tcPr>
            <w:tcW w:w="3337" w:type="dxa"/>
            <w:tcBorders>
              <w:left w:val="single" w:sz="6" w:space="0" w:color="000000"/>
              <w:bottom w:val="single" w:sz="6" w:space="0" w:color="000000"/>
              <w:right w:val="single" w:sz="6" w:space="0" w:color="000000"/>
            </w:tcBorders>
            <w:vAlign w:val="center"/>
          </w:tcPr>
          <w:p>
            <w:pPr>
              <w:pStyle w:val="Sadrajitabliceuser"/>
              <w:jc w:val="right"/>
              <w:rPr>
                <w:rFonts w:ascii="Times New Roman" w:hAnsi="Times New Roman"/>
                <w:b w:val="false"/>
                <w:bCs w:val="false"/>
                <w:sz w:val="24"/>
                <w:szCs w:val="24"/>
                <w:shd w:fill="auto" w:val="clear"/>
              </w:rPr>
            </w:pPr>
            <w:r>
              <w:rPr>
                <w:b w:val="false"/>
                <w:bCs w:val="false"/>
                <w:sz w:val="24"/>
                <w:szCs w:val="24"/>
                <w:shd w:fill="auto" w:val="clear"/>
              </w:rPr>
              <w:t xml:space="preserve">      </w:t>
            </w:r>
            <w:r>
              <w:rPr>
                <w:b w:val="false"/>
                <w:bCs w:val="false"/>
                <w:sz w:val="24"/>
                <w:szCs w:val="24"/>
                <w:shd w:fill="auto" w:val="clear"/>
              </w:rPr>
              <w:t>331.272,39</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Uprava</w:t>
            </w:r>
          </w:p>
        </w:tc>
        <w:tc>
          <w:tcPr>
            <w:tcW w:w="3337" w:type="dxa"/>
            <w:tcBorders>
              <w:left w:val="single" w:sz="6" w:space="0" w:color="000000"/>
              <w:bottom w:val="single" w:sz="6" w:space="0" w:color="000000"/>
            </w:tcBorders>
          </w:tcPr>
          <w:p>
            <w:pPr>
              <w:pStyle w:val="Sadrajitabliceuser"/>
              <w:jc w:val="center"/>
              <w:rPr>
                <w:rFonts w:ascii="Times New Roman" w:hAnsi="Times New Roman"/>
                <w:sz w:val="24"/>
                <w:szCs w:val="24"/>
                <w:shd w:fill="auto" w:val="clear"/>
              </w:rPr>
            </w:pPr>
            <w:r>
              <w:rPr>
                <w:sz w:val="24"/>
                <w:szCs w:val="24"/>
                <w:shd w:fill="auto" w:val="clear"/>
              </w:rPr>
              <w:t>Uredski materijal, poštanske i ostale usluge, plaće i naknade, usluge održavanja programskog rješenja</w:t>
            </w:r>
          </w:p>
        </w:tc>
        <w:tc>
          <w:tcPr>
            <w:tcW w:w="3337" w:type="dxa"/>
            <w:tcBorders>
              <w:left w:val="single" w:sz="6" w:space="0" w:color="000000"/>
              <w:bottom w:val="single" w:sz="6" w:space="0" w:color="000000"/>
              <w:right w:val="single" w:sz="6" w:space="0" w:color="000000"/>
            </w:tcBorders>
            <w:vAlign w:val="center"/>
          </w:tcPr>
          <w:p>
            <w:pPr>
              <w:pStyle w:val="Sadrajitabliceuser"/>
              <w:jc w:val="right"/>
              <w:rPr>
                <w:rFonts w:ascii="Times New Roman" w:hAnsi="Times New Roman"/>
                <w:b w:val="false"/>
                <w:bCs w:val="false"/>
                <w:sz w:val="24"/>
                <w:szCs w:val="24"/>
                <w:shd w:fill="auto" w:val="clear"/>
              </w:rPr>
            </w:pPr>
            <w:r>
              <w:rPr>
                <w:b w:val="false"/>
                <w:bCs w:val="false"/>
                <w:sz w:val="24"/>
                <w:szCs w:val="24"/>
                <w:shd w:fill="auto" w:val="clear"/>
              </w:rPr>
              <w:t>117.770,37</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Deponij</w:t>
            </w:r>
          </w:p>
        </w:tc>
        <w:tc>
          <w:tcPr>
            <w:tcW w:w="3337" w:type="dxa"/>
            <w:tcBorders>
              <w:left w:val="single" w:sz="6" w:space="0" w:color="000000"/>
              <w:bottom w:val="single" w:sz="6" w:space="0" w:color="000000"/>
            </w:tcBorders>
          </w:tcPr>
          <w:p>
            <w:pPr>
              <w:pStyle w:val="Sadrajitabliceuser"/>
              <w:jc w:val="center"/>
              <w:rPr>
                <w:rFonts w:ascii="Times New Roman" w:hAnsi="Times New Roman"/>
                <w:sz w:val="24"/>
                <w:szCs w:val="24"/>
                <w:shd w:fill="auto" w:val="clear"/>
              </w:rPr>
            </w:pPr>
            <w:r>
              <w:rPr>
                <w:sz w:val="24"/>
                <w:szCs w:val="24"/>
                <w:shd w:fill="auto" w:val="clear"/>
              </w:rPr>
              <w:t>Sirovine i materijali, deratizacija, plaće i naknade</w:t>
            </w:r>
          </w:p>
        </w:tc>
        <w:tc>
          <w:tcPr>
            <w:tcW w:w="3337" w:type="dxa"/>
            <w:tcBorders>
              <w:left w:val="single" w:sz="6" w:space="0" w:color="000000"/>
              <w:bottom w:val="single" w:sz="6" w:space="0" w:color="000000"/>
              <w:right w:val="single" w:sz="6" w:space="0" w:color="000000"/>
            </w:tcBorders>
            <w:vAlign w:val="center"/>
          </w:tcPr>
          <w:p>
            <w:pPr>
              <w:pStyle w:val="Sadrajitabliceuser"/>
              <w:jc w:val="right"/>
              <w:rPr>
                <w:rFonts w:ascii="Times New Roman" w:hAnsi="Times New Roman"/>
                <w:sz w:val="24"/>
                <w:szCs w:val="24"/>
                <w:highlight w:val="none"/>
                <w:shd w:fill="auto" w:val="clear"/>
              </w:rPr>
            </w:pPr>
            <w:r>
              <w:rPr>
                <w:sz w:val="24"/>
                <w:szCs w:val="24"/>
                <w:shd w:fill="auto" w:val="clear"/>
              </w:rPr>
              <w:t>33.572,09</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Reciklažno dvorište</w:t>
            </w:r>
          </w:p>
        </w:tc>
        <w:tc>
          <w:tcPr>
            <w:tcW w:w="3337" w:type="dxa"/>
            <w:tcBorders>
              <w:left w:val="single" w:sz="6" w:space="0" w:color="000000"/>
              <w:bottom w:val="single" w:sz="6" w:space="0" w:color="000000"/>
            </w:tcBorders>
          </w:tcPr>
          <w:p>
            <w:pPr>
              <w:pStyle w:val="Sadrajitabliceuser"/>
              <w:jc w:val="center"/>
              <w:rPr>
                <w:rFonts w:ascii="Times New Roman" w:hAnsi="Times New Roman"/>
                <w:sz w:val="24"/>
                <w:szCs w:val="24"/>
                <w:shd w:fill="auto" w:val="clear"/>
              </w:rPr>
            </w:pPr>
            <w:r>
              <w:rPr>
                <w:sz w:val="24"/>
                <w:szCs w:val="24"/>
                <w:shd w:fill="auto" w:val="clear"/>
              </w:rPr>
              <w:t>Sirovine i materijali, prijevozne usluge, zbrinjavanje glomaznog otpada</w:t>
            </w:r>
          </w:p>
        </w:tc>
        <w:tc>
          <w:tcPr>
            <w:tcW w:w="3337" w:type="dxa"/>
            <w:tcBorders>
              <w:left w:val="single" w:sz="6" w:space="0" w:color="000000"/>
              <w:bottom w:val="single" w:sz="6" w:space="0" w:color="000000"/>
              <w:right w:val="single" w:sz="6" w:space="0" w:color="000000"/>
            </w:tcBorders>
            <w:vAlign w:val="center"/>
          </w:tcPr>
          <w:p>
            <w:pPr>
              <w:pStyle w:val="Sadrajitabliceuser"/>
              <w:jc w:val="right"/>
              <w:rPr>
                <w:rFonts w:ascii="Times New Roman" w:hAnsi="Times New Roman"/>
                <w:b w:val="false"/>
                <w:bCs w:val="false"/>
                <w:sz w:val="24"/>
                <w:szCs w:val="24"/>
                <w:shd w:fill="auto" w:val="clear"/>
              </w:rPr>
            </w:pPr>
            <w:r>
              <w:rPr>
                <w:b w:val="false"/>
                <w:bCs w:val="false"/>
                <w:sz w:val="24"/>
                <w:szCs w:val="24"/>
                <w:shd w:fill="auto" w:val="clear"/>
              </w:rPr>
              <w:t>38.930,22</w:t>
            </w:r>
          </w:p>
        </w:tc>
      </w:tr>
      <w:tr>
        <w:trPr/>
        <w:tc>
          <w:tcPr>
            <w:tcW w:w="3331" w:type="dxa"/>
            <w:tcBorders>
              <w:left w:val="single" w:sz="6" w:space="0" w:color="000000"/>
              <w:bottom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Komunalne usluge</w:t>
            </w:r>
          </w:p>
        </w:tc>
        <w:tc>
          <w:tcPr>
            <w:tcW w:w="3337" w:type="dxa"/>
            <w:tcBorders>
              <w:left w:val="single" w:sz="6" w:space="0" w:color="000000"/>
              <w:bottom w:val="single" w:sz="6" w:space="0" w:color="000000"/>
            </w:tcBorders>
          </w:tcPr>
          <w:p>
            <w:pPr>
              <w:pStyle w:val="Sadrajitabliceuser"/>
              <w:jc w:val="both"/>
              <w:rPr>
                <w:rFonts w:ascii="Times New Roman" w:hAnsi="Times New Roman"/>
                <w:sz w:val="24"/>
                <w:szCs w:val="24"/>
                <w:shd w:fill="auto" w:val="clear"/>
              </w:rPr>
            </w:pPr>
            <w:r>
              <w:rPr>
                <w:sz w:val="24"/>
                <w:szCs w:val="24"/>
                <w:shd w:fill="auto" w:val="clear"/>
              </w:rPr>
              <w:t>Troškovi za ustupljene radnike</w:t>
            </w:r>
          </w:p>
        </w:tc>
        <w:tc>
          <w:tcPr>
            <w:tcW w:w="3337" w:type="dxa"/>
            <w:tcBorders>
              <w:left w:val="single" w:sz="6" w:space="0" w:color="000000"/>
              <w:bottom w:val="single" w:sz="6" w:space="0" w:color="000000"/>
              <w:right w:val="single" w:sz="6" w:space="0" w:color="000000"/>
            </w:tcBorders>
          </w:tcPr>
          <w:p>
            <w:pPr>
              <w:pStyle w:val="Sadrajitabliceuser"/>
              <w:jc w:val="right"/>
              <w:rPr>
                <w:rFonts w:ascii="Times New Roman" w:hAnsi="Times New Roman"/>
                <w:b w:val="false"/>
                <w:bCs w:val="false"/>
                <w:sz w:val="24"/>
                <w:szCs w:val="24"/>
                <w:shd w:fill="auto" w:val="clear"/>
              </w:rPr>
            </w:pPr>
            <w:r>
              <w:rPr>
                <w:b w:val="false"/>
                <w:bCs w:val="false"/>
                <w:sz w:val="24"/>
                <w:szCs w:val="24"/>
                <w:shd w:fill="auto" w:val="clear"/>
              </w:rPr>
              <w:t xml:space="preserve">   </w:t>
            </w:r>
            <w:r>
              <w:rPr>
                <w:b w:val="false"/>
                <w:bCs w:val="false"/>
                <w:sz w:val="24"/>
                <w:szCs w:val="24"/>
                <w:shd w:fill="auto" w:val="clear"/>
              </w:rPr>
              <w:t>19.720,00</w:t>
            </w:r>
          </w:p>
        </w:tc>
      </w:tr>
      <w:tr>
        <w:trPr/>
        <w:tc>
          <w:tcPr>
            <w:tcW w:w="10005" w:type="dxa"/>
            <w:gridSpan w:val="3"/>
            <w:tcBorders>
              <w:left w:val="single" w:sz="4" w:space="0" w:color="000000"/>
              <w:bottom w:val="single" w:sz="4" w:space="0" w:color="000000"/>
              <w:right w:val="single" w:sz="4" w:space="0" w:color="000000"/>
            </w:tcBorders>
          </w:tcPr>
          <w:p>
            <w:pPr>
              <w:pStyle w:val="Sadrajitabliceuser"/>
              <w:jc w:val="both"/>
              <w:rPr>
                <w:rFonts w:ascii="Times New Roman" w:hAnsi="Times New Roman"/>
                <w:i/>
                <w:i/>
                <w:iCs/>
                <w:sz w:val="24"/>
                <w:szCs w:val="24"/>
                <w:shd w:fill="auto" w:val="clear"/>
              </w:rPr>
            </w:pPr>
            <w:r>
              <w:rPr>
                <w:i/>
                <w:iCs/>
                <w:sz w:val="24"/>
                <w:szCs w:val="24"/>
                <w:shd w:fill="auto" w:val="clear"/>
              </w:rPr>
              <w:t xml:space="preserve">Ukupni trošak do 31.8.2025. godini                                                                                      </w:t>
            </w:r>
            <w:r>
              <w:rPr>
                <w:b w:val="false"/>
                <w:bCs w:val="false"/>
                <w:i/>
                <w:iCs/>
                <w:sz w:val="24"/>
                <w:szCs w:val="24"/>
                <w:shd w:fill="auto" w:val="clear"/>
              </w:rPr>
              <w:t xml:space="preserve">   </w:t>
            </w:r>
            <w:r>
              <w:rPr>
                <w:b w:val="false"/>
                <w:bCs w:val="false"/>
                <w:i w:val="false"/>
                <w:iCs w:val="false"/>
                <w:sz w:val="24"/>
                <w:szCs w:val="24"/>
                <w:shd w:fill="auto" w:val="clear"/>
              </w:rPr>
              <w:t xml:space="preserve"> 541.265,07</w:t>
            </w:r>
          </w:p>
        </w:tc>
      </w:tr>
      <w:tr>
        <w:trPr/>
        <w:tc>
          <w:tcPr>
            <w:tcW w:w="10005" w:type="dxa"/>
            <w:gridSpan w:val="3"/>
            <w:tcBorders>
              <w:left w:val="single" w:sz="4" w:space="0" w:color="000000"/>
              <w:bottom w:val="single" w:sz="4" w:space="0" w:color="000000"/>
              <w:right w:val="single" w:sz="4" w:space="0" w:color="000000"/>
            </w:tcBorders>
          </w:tcPr>
          <w:p>
            <w:pPr>
              <w:pStyle w:val="Sadrajitabliceuser"/>
              <w:jc w:val="both"/>
              <w:rPr>
                <w:rFonts w:ascii="Times New Roman" w:hAnsi="Times New Roman"/>
                <w:i/>
                <w:i/>
                <w:iCs/>
                <w:sz w:val="24"/>
                <w:szCs w:val="24"/>
                <w:shd w:fill="auto" w:val="clear"/>
              </w:rPr>
            </w:pPr>
            <w:r>
              <w:rPr>
                <w:i/>
                <w:iCs/>
                <w:sz w:val="24"/>
                <w:szCs w:val="24"/>
                <w:shd w:fill="auto" w:val="clear"/>
              </w:rPr>
              <w:t xml:space="preserve">Mjesečni trošak                                                                                                                     </w:t>
            </w:r>
            <w:r>
              <w:rPr>
                <w:b w:val="false"/>
                <w:bCs w:val="false"/>
                <w:i/>
                <w:iCs/>
                <w:sz w:val="24"/>
                <w:szCs w:val="24"/>
                <w:shd w:fill="auto" w:val="clear"/>
              </w:rPr>
              <w:t xml:space="preserve">      </w:t>
            </w:r>
            <w:r>
              <w:rPr>
                <w:b w:val="false"/>
                <w:bCs w:val="false"/>
                <w:i w:val="false"/>
                <w:iCs w:val="false"/>
                <w:sz w:val="24"/>
                <w:szCs w:val="24"/>
                <w:shd w:fill="auto" w:val="clear"/>
              </w:rPr>
              <w:t>67.658,14</w:t>
            </w:r>
          </w:p>
        </w:tc>
      </w:tr>
      <w:tr>
        <w:trPr/>
        <w:tc>
          <w:tcPr>
            <w:tcW w:w="10005" w:type="dxa"/>
            <w:gridSpan w:val="3"/>
            <w:tcBorders>
              <w:left w:val="single" w:sz="4" w:space="0" w:color="000000"/>
              <w:bottom w:val="single" w:sz="4" w:space="0" w:color="000000"/>
              <w:right w:val="single" w:sz="4" w:space="0" w:color="000000"/>
            </w:tcBorders>
          </w:tcPr>
          <w:p>
            <w:pPr>
              <w:pStyle w:val="Sadrajitabliceuser"/>
              <w:jc w:val="left"/>
              <w:rPr>
                <w:rFonts w:ascii="Times New Roman" w:hAnsi="Times New Roman"/>
                <w:i/>
                <w:i/>
                <w:iCs/>
                <w:sz w:val="24"/>
                <w:szCs w:val="24"/>
                <w:shd w:fill="auto" w:val="clear"/>
              </w:rPr>
            </w:pPr>
            <w:r>
              <w:rPr>
                <w:i/>
                <w:iCs/>
                <w:sz w:val="24"/>
                <w:szCs w:val="24"/>
                <w:shd w:fill="auto" w:val="clear"/>
              </w:rPr>
              <w:t xml:space="preserve">Mjesečna naknada za odlaganje MKO u 2025.godini                                                                  </w:t>
            </w:r>
            <w:r>
              <w:rPr>
                <w:b w:val="false"/>
                <w:bCs w:val="false"/>
                <w:i w:val="false"/>
                <w:iCs w:val="false"/>
                <w:sz w:val="24"/>
                <w:szCs w:val="24"/>
                <w:shd w:fill="auto" w:val="clear"/>
              </w:rPr>
              <w:t>3.050,00</w:t>
            </w:r>
          </w:p>
        </w:tc>
      </w:tr>
      <w:tr>
        <w:trPr/>
        <w:tc>
          <w:tcPr>
            <w:tcW w:w="10005" w:type="dxa"/>
            <w:gridSpan w:val="3"/>
            <w:tcBorders>
              <w:top w:val="single" w:sz="6" w:space="0" w:color="000000"/>
              <w:left w:val="single" w:sz="6" w:space="0" w:color="000000"/>
              <w:bottom w:val="single" w:sz="6" w:space="0" w:color="000000"/>
              <w:right w:val="single" w:sz="6" w:space="0" w:color="000000"/>
            </w:tcBorders>
          </w:tcPr>
          <w:p>
            <w:pPr>
              <w:pStyle w:val="Sadrajitabliceuser"/>
              <w:jc w:val="both"/>
              <w:rPr>
                <w:rFonts w:ascii="Times New Roman" w:hAnsi="Times New Roman"/>
                <w:b/>
                <w:bCs/>
                <w:sz w:val="24"/>
                <w:szCs w:val="24"/>
                <w:shd w:fill="auto" w:val="clear"/>
              </w:rPr>
            </w:pPr>
            <w:r>
              <w:rPr>
                <w:b/>
                <w:bCs/>
                <w:sz w:val="24"/>
                <w:szCs w:val="24"/>
                <w:shd w:fill="auto" w:val="clear"/>
              </w:rPr>
              <w:t xml:space="preserve">UKUPNI MJESEČNI TROŠAK U 2025. GODINI                                                             </w:t>
            </w:r>
            <w:r>
              <w:rPr>
                <w:b w:val="false"/>
                <w:bCs w:val="false"/>
                <w:sz w:val="24"/>
                <w:szCs w:val="24"/>
                <w:shd w:fill="auto" w:val="clear"/>
              </w:rPr>
              <w:t xml:space="preserve">  70.708,14</w:t>
            </w:r>
          </w:p>
        </w:tc>
      </w:tr>
    </w:tbl>
    <w:p>
      <w:pPr>
        <w:pStyle w:val="Normal"/>
        <w:jc w:val="both"/>
        <w:rPr>
          <w:rFonts w:ascii="Times New Roman" w:hAnsi="Times New Roman"/>
          <w:b/>
          <w:bCs/>
          <w:sz w:val="20"/>
          <w:szCs w:val="20"/>
          <w:shd w:fill="auto" w:val="clear"/>
        </w:rPr>
      </w:pPr>
      <w:r>
        <w:rPr>
          <w:b/>
          <w:bCs/>
          <w:sz w:val="20"/>
          <w:szCs w:val="20"/>
          <w:shd w:fill="auto" w:val="clear"/>
        </w:rPr>
      </w:r>
    </w:p>
    <w:p>
      <w:pPr>
        <w:pStyle w:val="Normal"/>
        <w:jc w:val="both"/>
        <w:rPr>
          <w:rFonts w:ascii="Times New Roman" w:hAnsi="Times New Roman"/>
          <w:b/>
          <w:bCs/>
          <w:sz w:val="20"/>
          <w:szCs w:val="20"/>
          <w:shd w:fill="auto" w:val="clear"/>
        </w:rPr>
      </w:pPr>
      <w:r>
        <w:rPr>
          <w:b/>
          <w:bCs/>
          <w:sz w:val="20"/>
          <w:szCs w:val="20"/>
          <w:shd w:fill="auto" w:val="clear"/>
        </w:rPr>
        <w:t>Tablica 5. Projekcija prihoda prema novom cjeniku</w:t>
      </w:r>
    </w:p>
    <w:p>
      <w:pPr>
        <w:pStyle w:val="Normal"/>
        <w:jc w:val="both"/>
        <w:rPr>
          <w:rFonts w:ascii="Times New Roman" w:hAnsi="Times New Roman"/>
          <w:b/>
          <w:bCs/>
          <w:sz w:val="20"/>
          <w:szCs w:val="20"/>
          <w:shd w:fill="auto" w:val="clear"/>
        </w:rPr>
      </w:pPr>
      <w:r>
        <w:rPr>
          <w:b/>
          <w:bCs/>
          <w:sz w:val="20"/>
          <w:szCs w:val="20"/>
          <w:shd w:fill="auto" w:val="clear"/>
        </w:rPr>
      </w:r>
    </w:p>
    <w:tbl>
      <w:tblPr>
        <w:tblW w:w="10095" w:type="dxa"/>
        <w:jc w:val="left"/>
        <w:tblInd w:w="-35" w:type="dxa"/>
        <w:tblLayout w:type="fixed"/>
        <w:tblCellMar>
          <w:top w:w="55" w:type="dxa"/>
          <w:left w:w="55" w:type="dxa"/>
          <w:bottom w:w="55" w:type="dxa"/>
          <w:right w:w="55" w:type="dxa"/>
        </w:tblCellMar>
      </w:tblPr>
      <w:tblGrid>
        <w:gridCol w:w="3478"/>
        <w:gridCol w:w="3252"/>
        <w:gridCol w:w="3365"/>
      </w:tblGrid>
      <w:tr>
        <w:trPr/>
        <w:tc>
          <w:tcPr>
            <w:tcW w:w="3478" w:type="dxa"/>
            <w:tcBorders>
              <w:top w:val="single" w:sz="4" w:space="0" w:color="000000"/>
              <w:left w:val="single" w:sz="4" w:space="0" w:color="000000"/>
              <w:bottom w:val="single" w:sz="4" w:space="0" w:color="000000"/>
            </w:tcBorders>
            <w:vAlign w:val="center"/>
          </w:tcPr>
          <w:p>
            <w:pPr>
              <w:pStyle w:val="Sadrajitabliceuser"/>
              <w:jc w:val="center"/>
              <w:rPr>
                <w:rFonts w:ascii="Times New Roman" w:hAnsi="Times New Roman"/>
                <w:b/>
                <w:bCs/>
                <w:sz w:val="24"/>
                <w:szCs w:val="24"/>
                <w:shd w:fill="auto" w:val="clear"/>
              </w:rPr>
            </w:pPr>
            <w:r>
              <w:rPr>
                <w:b/>
                <w:bCs/>
                <w:sz w:val="24"/>
                <w:szCs w:val="24"/>
                <w:shd w:fill="auto" w:val="clear"/>
              </w:rPr>
              <w:t>Kategorija korisnika</w:t>
            </w:r>
          </w:p>
        </w:tc>
        <w:tc>
          <w:tcPr>
            <w:tcW w:w="3252" w:type="dxa"/>
            <w:tcBorders>
              <w:top w:val="single" w:sz="4" w:space="0" w:color="000000"/>
              <w:left w:val="single" w:sz="4" w:space="0" w:color="000000"/>
              <w:bottom w:val="single" w:sz="4" w:space="0" w:color="000000"/>
            </w:tcBorders>
            <w:vAlign w:val="center"/>
          </w:tcPr>
          <w:p>
            <w:pPr>
              <w:pStyle w:val="Sadrajitabliceuser"/>
              <w:jc w:val="center"/>
              <w:rPr>
                <w:rFonts w:ascii="Times New Roman" w:hAnsi="Times New Roman"/>
                <w:b/>
                <w:bCs/>
                <w:sz w:val="24"/>
                <w:szCs w:val="24"/>
                <w:shd w:fill="auto" w:val="clear"/>
              </w:rPr>
            </w:pPr>
            <w:r>
              <w:rPr>
                <w:b/>
                <w:bCs/>
                <w:sz w:val="24"/>
                <w:szCs w:val="24"/>
                <w:shd w:fill="auto" w:val="clear"/>
              </w:rPr>
              <w:t>Trenutni mjesečni prihodi (EUR)</w:t>
            </w:r>
          </w:p>
        </w:tc>
        <w:tc>
          <w:tcPr>
            <w:tcW w:w="3365" w:type="dxa"/>
            <w:tcBorders>
              <w:top w:val="single" w:sz="4" w:space="0" w:color="000000"/>
              <w:left w:val="single" w:sz="4" w:space="0" w:color="000000"/>
              <w:bottom w:val="single" w:sz="4" w:space="0" w:color="000000"/>
              <w:right w:val="single" w:sz="4" w:space="0" w:color="000000"/>
            </w:tcBorders>
            <w:vAlign w:val="center"/>
          </w:tcPr>
          <w:p>
            <w:pPr>
              <w:pStyle w:val="Sadrajitabliceuser"/>
              <w:jc w:val="both"/>
              <w:rPr>
                <w:rFonts w:ascii="Times New Roman" w:hAnsi="Times New Roman"/>
                <w:sz w:val="20"/>
                <w:szCs w:val="20"/>
                <w:shd w:fill="auto" w:val="clear"/>
              </w:rPr>
            </w:pPr>
            <w:r>
              <w:rPr>
                <w:sz w:val="20"/>
                <w:szCs w:val="20"/>
                <w:shd w:fill="auto" w:val="clear"/>
              </w:rPr>
              <w:t xml:space="preserve">   </w:t>
            </w:r>
            <w:r>
              <w:rPr>
                <w:b/>
                <w:bCs/>
                <w:sz w:val="24"/>
                <w:szCs w:val="24"/>
                <w:shd w:fill="auto" w:val="clear"/>
              </w:rPr>
              <w:t>PROJEKCIJA PRIHODA</w:t>
            </w:r>
          </w:p>
          <w:p>
            <w:pPr>
              <w:pStyle w:val="Sadrajitabliceuser"/>
              <w:jc w:val="both"/>
              <w:rPr>
                <w:rFonts w:ascii="Times New Roman" w:hAnsi="Times New Roman"/>
                <w:b/>
                <w:bCs/>
                <w:sz w:val="24"/>
                <w:szCs w:val="24"/>
                <w:shd w:fill="auto" w:val="clear"/>
              </w:rPr>
            </w:pPr>
            <w:r>
              <w:rPr>
                <w:b/>
                <w:bCs/>
                <w:sz w:val="24"/>
                <w:szCs w:val="24"/>
                <w:shd w:fill="auto" w:val="clear"/>
              </w:rPr>
              <w:t xml:space="preserve">          </w:t>
            </w:r>
            <w:r>
              <w:rPr>
                <w:b/>
                <w:bCs/>
                <w:sz w:val="24"/>
                <w:szCs w:val="24"/>
                <w:shd w:fill="auto" w:val="clear"/>
              </w:rPr>
              <w:t>povećanje od 85%</w:t>
            </w:r>
          </w:p>
        </w:tc>
      </w:tr>
      <w:tr>
        <w:trPr/>
        <w:tc>
          <w:tcPr>
            <w:tcW w:w="3478" w:type="dxa"/>
            <w:tcBorders>
              <w:left w:val="single" w:sz="4" w:space="0" w:color="000000"/>
              <w:bottom w:val="single" w:sz="4" w:space="0" w:color="000000"/>
            </w:tcBorders>
          </w:tcPr>
          <w:p>
            <w:pPr>
              <w:pStyle w:val="Sadrajitabliceuser"/>
              <w:jc w:val="both"/>
              <w:rPr>
                <w:rFonts w:ascii="Times New Roman" w:hAnsi="Times New Roman"/>
                <w:sz w:val="24"/>
                <w:szCs w:val="24"/>
                <w:shd w:fill="auto" w:val="clear"/>
              </w:rPr>
            </w:pPr>
            <w:r>
              <w:rPr>
                <w:sz w:val="24"/>
                <w:szCs w:val="24"/>
                <w:shd w:fill="auto" w:val="clear"/>
              </w:rPr>
              <w:t>Kućanstva</w:t>
            </w:r>
          </w:p>
        </w:tc>
        <w:tc>
          <w:tcPr>
            <w:tcW w:w="3252" w:type="dxa"/>
            <w:tcBorders>
              <w:left w:val="single" w:sz="4" w:space="0" w:color="000000"/>
              <w:bottom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10.843,74</w:t>
            </w:r>
          </w:p>
        </w:tc>
        <w:tc>
          <w:tcPr>
            <w:tcW w:w="3365" w:type="dxa"/>
            <w:tcBorders>
              <w:left w:val="single" w:sz="4" w:space="0" w:color="000000"/>
              <w:bottom w:val="single" w:sz="4" w:space="0" w:color="000000"/>
              <w:right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 xml:space="preserve">     </w:t>
            </w:r>
            <w:r>
              <w:rPr>
                <w:b w:val="false"/>
                <w:bCs w:val="false"/>
                <w:i w:val="false"/>
                <w:iCs w:val="false"/>
                <w:sz w:val="24"/>
                <w:szCs w:val="24"/>
                <w:shd w:fill="auto" w:val="clear"/>
              </w:rPr>
              <w:t>20.034,00</w:t>
            </w:r>
          </w:p>
        </w:tc>
      </w:tr>
      <w:tr>
        <w:trPr/>
        <w:tc>
          <w:tcPr>
            <w:tcW w:w="3478" w:type="dxa"/>
            <w:tcBorders>
              <w:left w:val="single" w:sz="4" w:space="0" w:color="000000"/>
              <w:bottom w:val="single" w:sz="4" w:space="0" w:color="000000"/>
            </w:tcBorders>
          </w:tcPr>
          <w:p>
            <w:pPr>
              <w:pStyle w:val="Sadrajitabliceuser"/>
              <w:jc w:val="both"/>
              <w:rPr>
                <w:rFonts w:ascii="Times New Roman" w:hAnsi="Times New Roman"/>
                <w:sz w:val="24"/>
                <w:szCs w:val="24"/>
                <w:shd w:fill="auto" w:val="clear"/>
              </w:rPr>
            </w:pPr>
            <w:r>
              <w:rPr>
                <w:sz w:val="24"/>
                <w:szCs w:val="24"/>
                <w:shd w:fill="auto" w:val="clear"/>
              </w:rPr>
              <w:t>Kućanstva - privremeni</w:t>
            </w:r>
          </w:p>
        </w:tc>
        <w:tc>
          <w:tcPr>
            <w:tcW w:w="3252" w:type="dxa"/>
            <w:tcBorders>
              <w:left w:val="single" w:sz="4" w:space="0" w:color="000000"/>
              <w:bottom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3.824,98</w:t>
            </w:r>
          </w:p>
        </w:tc>
        <w:tc>
          <w:tcPr>
            <w:tcW w:w="3365" w:type="dxa"/>
            <w:tcBorders>
              <w:left w:val="single" w:sz="4" w:space="0" w:color="000000"/>
              <w:bottom w:val="single" w:sz="4" w:space="0" w:color="000000"/>
              <w:right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7.082,10</w:t>
            </w:r>
          </w:p>
        </w:tc>
      </w:tr>
      <w:tr>
        <w:trPr/>
        <w:tc>
          <w:tcPr>
            <w:tcW w:w="3478" w:type="dxa"/>
            <w:tcBorders>
              <w:left w:val="single" w:sz="4" w:space="0" w:color="000000"/>
              <w:bottom w:val="single" w:sz="4" w:space="0" w:color="000000"/>
            </w:tcBorders>
          </w:tcPr>
          <w:p>
            <w:pPr>
              <w:pStyle w:val="Sadrajitabliceuser"/>
              <w:jc w:val="both"/>
              <w:rPr>
                <w:rFonts w:ascii="Times New Roman" w:hAnsi="Times New Roman"/>
                <w:sz w:val="24"/>
                <w:szCs w:val="24"/>
                <w:shd w:fill="auto" w:val="clear"/>
              </w:rPr>
            </w:pPr>
            <w:r>
              <w:rPr>
                <w:sz w:val="24"/>
                <w:szCs w:val="24"/>
                <w:shd w:fill="auto" w:val="clear"/>
              </w:rPr>
              <w:t>Nekućanstva - poslovni</w:t>
            </w:r>
          </w:p>
        </w:tc>
        <w:tc>
          <w:tcPr>
            <w:tcW w:w="3252" w:type="dxa"/>
            <w:tcBorders>
              <w:left w:val="single" w:sz="4" w:space="0" w:color="000000"/>
              <w:bottom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8.051,39</w:t>
            </w:r>
          </w:p>
        </w:tc>
        <w:tc>
          <w:tcPr>
            <w:tcW w:w="3365" w:type="dxa"/>
            <w:tcBorders>
              <w:left w:val="single" w:sz="4" w:space="0" w:color="000000"/>
              <w:bottom w:val="single" w:sz="4" w:space="0" w:color="000000"/>
              <w:right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13.154,00</w:t>
            </w:r>
          </w:p>
        </w:tc>
      </w:tr>
      <w:tr>
        <w:trPr/>
        <w:tc>
          <w:tcPr>
            <w:tcW w:w="3478" w:type="dxa"/>
            <w:tcBorders>
              <w:left w:val="single" w:sz="4" w:space="0" w:color="000000"/>
              <w:bottom w:val="single" w:sz="4" w:space="0" w:color="000000"/>
            </w:tcBorders>
          </w:tcPr>
          <w:p>
            <w:pPr>
              <w:pStyle w:val="Sadrajitabliceuser"/>
              <w:jc w:val="both"/>
              <w:rPr>
                <w:rFonts w:ascii="Times New Roman" w:hAnsi="Times New Roman"/>
                <w:sz w:val="24"/>
                <w:szCs w:val="24"/>
                <w:shd w:fill="auto" w:val="clear"/>
              </w:rPr>
            </w:pPr>
            <w:r>
              <w:rPr>
                <w:sz w:val="24"/>
                <w:szCs w:val="24"/>
                <w:shd w:fill="auto" w:val="clear"/>
              </w:rPr>
              <w:t>Nekućanstva – iznajmlj.</w:t>
            </w:r>
          </w:p>
        </w:tc>
        <w:tc>
          <w:tcPr>
            <w:tcW w:w="3252" w:type="dxa"/>
            <w:tcBorders>
              <w:left w:val="single" w:sz="4" w:space="0" w:color="000000"/>
              <w:bottom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1.900,24</w:t>
            </w:r>
          </w:p>
        </w:tc>
        <w:tc>
          <w:tcPr>
            <w:tcW w:w="3365" w:type="dxa"/>
            <w:tcBorders>
              <w:left w:val="single" w:sz="4" w:space="0" w:color="000000"/>
              <w:bottom w:val="single" w:sz="4" w:space="0" w:color="000000"/>
              <w:right w:val="single" w:sz="4" w:space="0" w:color="000000"/>
            </w:tcBorders>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 xml:space="preserve">   </w:t>
            </w:r>
            <w:r>
              <w:rPr>
                <w:b w:val="false"/>
                <w:bCs w:val="false"/>
                <w:i w:val="false"/>
                <w:iCs w:val="false"/>
                <w:sz w:val="24"/>
                <w:szCs w:val="24"/>
                <w:shd w:fill="auto" w:val="clear"/>
              </w:rPr>
              <w:t>3.524,27</w:t>
            </w:r>
          </w:p>
        </w:tc>
      </w:tr>
      <w:tr>
        <w:trPr/>
        <w:tc>
          <w:tcPr>
            <w:tcW w:w="3478" w:type="dxa"/>
            <w:tcBorders>
              <w:left w:val="single" w:sz="4" w:space="0" w:color="000000"/>
              <w:bottom w:val="single" w:sz="4" w:space="0" w:color="000000"/>
            </w:tcBorders>
          </w:tcPr>
          <w:p>
            <w:pPr>
              <w:pStyle w:val="Sadrajitabliceuser"/>
              <w:jc w:val="center"/>
              <w:rPr>
                <w:rFonts w:ascii="Times New Roman" w:hAnsi="Times New Roman"/>
                <w:b/>
                <w:bCs/>
                <w:sz w:val="24"/>
                <w:szCs w:val="24"/>
                <w:shd w:fill="auto" w:val="clear"/>
              </w:rPr>
            </w:pPr>
            <w:r>
              <w:rPr>
                <w:b/>
                <w:bCs/>
                <w:sz w:val="24"/>
                <w:szCs w:val="24"/>
                <w:shd w:fill="auto" w:val="clear"/>
              </w:rPr>
              <w:t>UKUPNI MJESEČNI PRIHOD (EUR)</w:t>
            </w:r>
          </w:p>
        </w:tc>
        <w:tc>
          <w:tcPr>
            <w:tcW w:w="3252" w:type="dxa"/>
            <w:tcBorders>
              <w:left w:val="single" w:sz="4" w:space="0" w:color="000000"/>
              <w:bottom w:val="single" w:sz="4" w:space="0" w:color="000000"/>
            </w:tcBorders>
            <w:vAlign w:val="center"/>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24.620,35</w:t>
            </w:r>
          </w:p>
        </w:tc>
        <w:tc>
          <w:tcPr>
            <w:tcW w:w="3365" w:type="dxa"/>
            <w:tcBorders>
              <w:left w:val="single" w:sz="4" w:space="0" w:color="000000"/>
              <w:bottom w:val="single" w:sz="4" w:space="0" w:color="000000"/>
              <w:right w:val="single" w:sz="4" w:space="0" w:color="000000"/>
            </w:tcBorders>
            <w:vAlign w:val="center"/>
          </w:tcPr>
          <w:p>
            <w:pPr>
              <w:pStyle w:val="Sadrajitabliceuser"/>
              <w:jc w:val="right"/>
              <w:rPr>
                <w:rFonts w:ascii="Times New Roman" w:hAnsi="Times New Roman"/>
                <w:b w:val="false"/>
                <w:bCs w:val="false"/>
                <w:i w:val="false"/>
                <w:i w:val="false"/>
                <w:iCs w:val="false"/>
                <w:sz w:val="24"/>
                <w:szCs w:val="24"/>
                <w:shd w:fill="auto" w:val="clear"/>
              </w:rPr>
            </w:pPr>
            <w:r>
              <w:rPr>
                <w:b w:val="false"/>
                <w:bCs w:val="false"/>
                <w:i w:val="false"/>
                <w:iCs w:val="false"/>
                <w:sz w:val="24"/>
                <w:szCs w:val="24"/>
                <w:shd w:fill="auto" w:val="clear"/>
              </w:rPr>
              <w:t xml:space="preserve">          </w:t>
            </w:r>
            <w:r>
              <w:rPr>
                <w:b w:val="false"/>
                <w:bCs w:val="false"/>
                <w:i w:val="false"/>
                <w:iCs w:val="false"/>
                <w:sz w:val="24"/>
                <w:szCs w:val="24"/>
                <w:shd w:fill="auto" w:val="clear"/>
              </w:rPr>
              <w:t>43.794,37</w:t>
            </w:r>
          </w:p>
        </w:tc>
      </w:tr>
    </w:tbl>
    <w:p>
      <w:pPr>
        <w:pStyle w:val="Normal"/>
        <w:jc w:val="both"/>
        <w:rPr>
          <w:rFonts w:ascii="Times New Roman" w:hAnsi="Times New Roman"/>
          <w:b/>
          <w:bCs/>
          <w:sz w:val="20"/>
          <w:szCs w:val="20"/>
          <w:shd w:fill="auto" w:val="clear"/>
        </w:rPr>
      </w:pPr>
      <w:r>
        <w:rPr>
          <w:b/>
          <w:bCs/>
          <w:sz w:val="20"/>
          <w:szCs w:val="20"/>
          <w:shd w:fill="auto" w:val="clear"/>
        </w:rPr>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sz w:val="24"/>
          <w:szCs w:val="24"/>
          <w:shd w:fill="auto" w:val="clear"/>
        </w:rPr>
      </w:pPr>
      <w:r>
        <w:rPr>
          <w:sz w:val="24"/>
          <w:szCs w:val="24"/>
          <w:shd w:fill="auto" w:val="clear"/>
        </w:rPr>
      </w:r>
    </w:p>
    <w:p>
      <w:pPr>
        <w:pStyle w:val="Normal"/>
        <w:jc w:val="both"/>
        <w:rPr>
          <w:rFonts w:ascii="Times New Roman" w:hAnsi="Times New Roman"/>
          <w:b/>
          <w:bCs/>
          <w:sz w:val="20"/>
          <w:szCs w:val="20"/>
          <w:shd w:fill="auto" w:val="clear"/>
        </w:rPr>
      </w:pPr>
      <w:r>
        <w:rPr>
          <w:b/>
          <w:bCs/>
          <w:sz w:val="20"/>
          <w:szCs w:val="20"/>
          <w:shd w:fill="auto" w:val="clear"/>
        </w:rPr>
        <w:t>Tablica 6. Informativni prikaz usporedbe cijene javne usluge sakupljanja otpada na području Općine Vela Luka i jedinicama lokalne samouprave u blizini. Usporedba se odnosi na odvoz 120 l</w:t>
      </w:r>
    </w:p>
    <w:p>
      <w:pPr>
        <w:pStyle w:val="Normal"/>
        <w:jc w:val="both"/>
        <w:rPr>
          <w:rFonts w:ascii="Times New Roman" w:hAnsi="Times New Roman"/>
          <w:b/>
          <w:bCs/>
          <w:sz w:val="20"/>
          <w:szCs w:val="20"/>
          <w:shd w:fill="auto" w:val="clear"/>
        </w:rPr>
      </w:pPr>
      <w:r>
        <w:rPr>
          <w:b/>
          <w:bCs/>
          <w:sz w:val="20"/>
          <w:szCs w:val="20"/>
          <w:shd w:fill="auto" w:val="clear"/>
        </w:rPr>
      </w:r>
    </w:p>
    <w:tbl>
      <w:tblPr>
        <w:tblW w:w="5000" w:type="pct"/>
        <w:jc w:val="left"/>
        <w:tblInd w:w="-5" w:type="dxa"/>
        <w:tblLayout w:type="fixed"/>
        <w:tblCellMar>
          <w:top w:w="55" w:type="dxa"/>
          <w:left w:w="55" w:type="dxa"/>
          <w:bottom w:w="55" w:type="dxa"/>
          <w:right w:w="55" w:type="dxa"/>
        </w:tblCellMar>
      </w:tblPr>
      <w:tblGrid>
        <w:gridCol w:w="6313"/>
        <w:gridCol w:w="3691"/>
      </w:tblGrid>
      <w:tr>
        <w:trPr/>
        <w:tc>
          <w:tcPr>
            <w:tcW w:w="6313" w:type="dxa"/>
            <w:tcBorders>
              <w:top w:val="single" w:sz="4" w:space="0" w:color="000000"/>
              <w:left w:val="single" w:sz="4" w:space="0" w:color="000000"/>
              <w:bottom w:val="single" w:sz="4" w:space="0" w:color="000000"/>
            </w:tcBorders>
            <w:vAlign w:val="center"/>
          </w:tcPr>
          <w:p>
            <w:pPr>
              <w:pStyle w:val="Sadrajitabliceuser"/>
              <w:jc w:val="center"/>
              <w:rPr>
                <w:rFonts w:ascii="Times New Roman" w:hAnsi="Times New Roman"/>
                <w:b/>
                <w:bCs/>
                <w:shd w:fill="auto" w:val="clear"/>
              </w:rPr>
            </w:pPr>
            <w:r>
              <w:rPr>
                <w:b/>
                <w:bCs/>
                <w:shd w:fill="auto" w:val="clear"/>
              </w:rPr>
              <w:t>JLS</w:t>
            </w:r>
          </w:p>
        </w:tc>
        <w:tc>
          <w:tcPr>
            <w:tcW w:w="3691" w:type="dxa"/>
            <w:tcBorders>
              <w:top w:val="single" w:sz="4" w:space="0" w:color="000000"/>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b/>
                <w:bCs/>
                <w:shd w:fill="auto" w:val="clear"/>
              </w:rPr>
            </w:pPr>
            <w:r>
              <w:rPr>
                <w:b/>
                <w:bCs/>
                <w:shd w:fill="auto" w:val="clear"/>
              </w:rPr>
              <w:t>Ukupna mjesečna cijena usluge s PDV-om (EUR)</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Vela Luka postojeća cijena</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3,30</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Vela Luka predložena cijena</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6,10</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Blato</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7,58</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Smokvica</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15,49</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Korčula</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10,78</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Lumbarda</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11,25</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Orebić</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13,73</w:t>
            </w:r>
          </w:p>
        </w:tc>
      </w:tr>
      <w:tr>
        <w:trPr/>
        <w:tc>
          <w:tcPr>
            <w:tcW w:w="6313" w:type="dxa"/>
            <w:tcBorders>
              <w:left w:val="single" w:sz="4" w:space="0" w:color="000000"/>
              <w:bottom w:val="single" w:sz="4" w:space="0" w:color="000000"/>
            </w:tcBorders>
            <w:vAlign w:val="center"/>
          </w:tcPr>
          <w:p>
            <w:pPr>
              <w:pStyle w:val="Sadrajitabliceuser"/>
              <w:rPr>
                <w:rFonts w:ascii="Times New Roman" w:hAnsi="Times New Roman"/>
                <w:shd w:fill="auto" w:val="clear"/>
              </w:rPr>
            </w:pPr>
            <w:r>
              <w:rPr>
                <w:shd w:fill="auto" w:val="clear"/>
              </w:rPr>
              <w:t>Supetar</w:t>
            </w:r>
          </w:p>
        </w:tc>
        <w:tc>
          <w:tcPr>
            <w:tcW w:w="3691" w:type="dxa"/>
            <w:tcBorders>
              <w:left w:val="single" w:sz="4" w:space="0" w:color="000000"/>
              <w:bottom w:val="single" w:sz="4" w:space="0" w:color="000000"/>
              <w:right w:val="single" w:sz="4" w:space="0" w:color="000000"/>
            </w:tcBorders>
            <w:vAlign w:val="center"/>
          </w:tcPr>
          <w:p>
            <w:pPr>
              <w:pStyle w:val="Sadrajitabliceuser"/>
              <w:jc w:val="center"/>
              <w:rPr>
                <w:rFonts w:ascii="Times New Roman" w:hAnsi="Times New Roman"/>
                <w:shd w:fill="auto" w:val="clear"/>
              </w:rPr>
            </w:pPr>
            <w:r>
              <w:rPr>
                <w:shd w:fill="auto" w:val="clear"/>
              </w:rPr>
              <w:t xml:space="preserve">                   </w:t>
            </w:r>
            <w:r>
              <w:rPr>
                <w:shd w:fill="auto" w:val="clear"/>
              </w:rPr>
              <w:t>11,98</w:t>
            </w:r>
          </w:p>
        </w:tc>
      </w:tr>
    </w:tbl>
    <w:p>
      <w:pPr>
        <w:pStyle w:val="Normal"/>
        <w:rPr>
          <w:rFonts w:ascii="Yu Gothic UI" w:hAnsi="Yu Gothic UI"/>
          <w:b/>
          <w:bCs/>
          <w:shd w:fill="auto" w:val="clear"/>
        </w:rPr>
      </w:pPr>
      <w:r>
        <w:rPr>
          <w:rFonts w:ascii="Yu Gothic UI" w:hAnsi="Yu Gothic UI"/>
          <w:b/>
          <w:bCs/>
          <w:shd w:fill="auto" w:val="clear"/>
        </w:rPr>
      </w:r>
    </w:p>
    <w:p>
      <w:pPr>
        <w:pStyle w:val="Normal"/>
        <w:jc w:val="both"/>
        <w:rPr>
          <w:rFonts w:ascii="Times New Roman" w:hAnsi="Times New Roman"/>
          <w:sz w:val="24"/>
          <w:szCs w:val="24"/>
          <w:shd w:fill="76FF03" w:val="clear"/>
        </w:rPr>
      </w:pPr>
      <w:r>
        <w:rPr>
          <w:sz w:val="24"/>
          <w:szCs w:val="24"/>
          <w:shd w:fill="76FF03" w:val="clear"/>
        </w:rPr>
      </w:r>
    </w:p>
    <w:p>
      <w:pPr>
        <w:pStyle w:val="Normal"/>
        <w:jc w:val="both"/>
        <w:rPr>
          <w:rFonts w:ascii="Times New Roman" w:hAnsi="Times New Roman"/>
          <w:sz w:val="24"/>
          <w:szCs w:val="24"/>
          <w:shd w:fill="76FF03" w:val="clear"/>
        </w:rPr>
      </w:pPr>
      <w:r>
        <w:rPr>
          <w:sz w:val="24"/>
          <w:szCs w:val="24"/>
          <w:shd w:fill="76FF03" w:val="clear"/>
        </w:rPr>
      </w:r>
    </w:p>
    <w:p>
      <w:pPr>
        <w:pStyle w:val="Normal"/>
        <w:jc w:val="both"/>
        <w:rPr>
          <w:rFonts w:ascii="Times New Roman" w:hAnsi="Times New Roman"/>
          <w:sz w:val="24"/>
          <w:szCs w:val="24"/>
          <w:shd w:fill="auto" w:val="clear"/>
        </w:rPr>
      </w:pPr>
      <w:r>
        <w:rPr>
          <w:sz w:val="24"/>
          <w:szCs w:val="24"/>
          <w:shd w:fill="auto" w:val="clear"/>
        </w:rPr>
      </w:r>
    </w:p>
    <w:sectPr>
      <w:footerReference w:type="even" r:id="rId2"/>
      <w:footerReference w:type="default" r:id="rId3"/>
      <w:footerReference w:type="first" r:id="rId4"/>
      <w:type w:val="nextPage"/>
      <w:pgSz w:w="11906" w:h="16838"/>
      <w:pgMar w:left="780" w:right="1121" w:gutter="0" w:header="0" w:top="1134"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Arial">
    <w:charset w:val="ee"/>
    <w:family w:val="swiss"/>
    <w:pitch w:val="variable"/>
  </w:font>
  <w:font w:name="Calibri">
    <w:charset w:val="ee"/>
    <w:family w:val="roman"/>
    <w:pitch w:val="variable"/>
  </w:font>
  <w:font w:name="TimesNewRomanPSMT">
    <w:charset w:val="ee"/>
    <w:family w:val="roman"/>
    <w:pitch w:val="variable"/>
  </w:font>
  <w:font w:name="Yu Gothic U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ft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zxx" w:eastAsia="zxx" w:bidi="zxx"/>
    </w:rPr>
  </w:style>
  <w:style w:type="character" w:styleId="DefaultParagraphFont">
    <w:name w:val="Default Paragraph Font"/>
    <w:qFormat/>
    <w:rPr/>
  </w:style>
  <w:style w:type="character" w:styleId="st1">
    <w:name w:val="st1"/>
    <w:basedOn w:val="DefaultParagraphFont"/>
    <w:qFormat/>
    <w:rPr/>
  </w:style>
  <w:style w:type="character" w:styleId="WW8Num4z0">
    <w:name w:val="WW8Num4z0"/>
    <w:qFormat/>
    <w:rPr>
      <w:rFonts w:ascii="Symbol" w:hAnsi="Symbol" w:cs="OpenSymbol;Arial Unicode MS"/>
      <w:color w:val="000009"/>
      <w:spacing w:val="-4"/>
      <w:sz w:val="24"/>
      <w:szCs w:val="24"/>
    </w:rPr>
  </w:style>
  <w:style w:type="character" w:styleId="WW8Num4z1">
    <w:name w:val="WW8Num4z1"/>
    <w:qFormat/>
    <w:rPr>
      <w:rFonts w:ascii="OpenSymbol;Arial Unicode MS" w:hAnsi="OpenSymbol;Arial Unicode MS" w:cs="OpenSymbol;Arial Unicode MS"/>
    </w:rPr>
  </w:style>
  <w:style w:type="character" w:styleId="Simbolinumeriranjauser">
    <w:name w:val="Simboli numeriranja (user)"/>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81z0">
    <w:name w:val="WW8Num81z0"/>
    <w:qFormat/>
    <w:rPr>
      <w:rFonts w:ascii="Times New Roman" w:hAnsi="Times New Roman" w:cs="Times New Roman"/>
      <w:b w:val="false"/>
      <w:color w:val="231F20"/>
    </w:rPr>
  </w:style>
  <w:style w:type="character" w:styleId="WW8Num17z0">
    <w:name w:val="WW8Num17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48z0">
    <w:name w:val="WW8Num48z0"/>
    <w:qFormat/>
    <w:rPr>
      <w:rFonts w:ascii="Times New Roman" w:hAnsi="Times New Roman" w:cs="Times New Roman"/>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Arial" w:hAnsi="Arial" w:eastAsia="Andale Sans UI" w:cs="Tahoma"/>
      <w:sz w:val="28"/>
      <w:szCs w:val="28"/>
    </w:rPr>
  </w:style>
  <w:style w:type="paragraph" w:styleId="Indeksuser">
    <w:name w:val="Indeks (user)"/>
    <w:basedOn w:val="Normal"/>
    <w:qFormat/>
    <w:pPr>
      <w:suppressLineNumbers/>
    </w:pPr>
    <w:rPr>
      <w:rFonts w:cs="Tahoma"/>
    </w:rPr>
  </w:style>
  <w:style w:type="paragraph" w:styleId="Default">
    <w:name w:val="Default"/>
    <w:qFormat/>
    <w:pPr>
      <w:widowControl w:val="false"/>
      <w:suppressAutoHyphens w:val="true"/>
      <w:overflowPunct w:val="true"/>
      <w:bidi w:val="0"/>
      <w:spacing w:before="0" w:after="0"/>
      <w:jc w:val="left"/>
    </w:pPr>
    <w:rPr>
      <w:rFonts w:ascii="Calibri" w:hAnsi="Calibri" w:eastAsia="Andale Sans UI" w:cs="Tahoma"/>
      <w:color w:val="000000"/>
      <w:kern w:val="2"/>
      <w:sz w:val="24"/>
      <w:szCs w:val="24"/>
      <w:lang w:val="en-US" w:eastAsia="en-US" w:bidi="en-US"/>
    </w:rPr>
  </w:style>
  <w:style w:type="paragraph" w:styleId="Sadrajitabliceuser">
    <w:name w:val="Sadržaji tablice (user)"/>
    <w:basedOn w:val="Normal"/>
    <w:qFormat/>
    <w:pPr>
      <w:suppressLineNumbers/>
    </w:pPr>
    <w:rPr/>
  </w:style>
  <w:style w:type="paragraph" w:styleId="Naslovtabliceuser">
    <w:name w:val="Naslov tablice (user)"/>
    <w:basedOn w:val="Sadrajitabliceuser"/>
    <w:qFormat/>
    <w:pPr/>
    <w:rPr/>
  </w:style>
  <w:style w:type="paragraph" w:styleId="ListParagraph">
    <w:name w:val="List Paragraph"/>
    <w:basedOn w:val="Normal"/>
    <w:qFormat/>
    <w:pPr>
      <w:spacing w:before="0" w:after="160"/>
      <w:ind w:hanging="0" w:left="720" w:right="0"/>
      <w:contextualSpacing/>
    </w:pPr>
    <w:rPr/>
  </w:style>
  <w:style w:type="paragraph" w:styleId="Zaglavljeipodnoje">
    <w:name w:val="Zaglavlje i podnožje"/>
    <w:basedOn w:val="Normal"/>
    <w:qFormat/>
    <w:pPr/>
    <w:rPr/>
  </w:style>
  <w:style w:type="paragraph" w:styleId="HeaderandFooter">
    <w:name w:val="Header and Footer"/>
    <w:basedOn w:val="Normal"/>
    <w:qFormat/>
    <w:pPr/>
    <w:rPr/>
  </w:style>
  <w:style w:type="paragraph" w:styleId="Footer">
    <w:name w:val="footer"/>
    <w:basedOn w:val="Zaglavljeipodnoje"/>
    <w:pPr/>
    <w:rPr/>
  </w:style>
  <w:style w:type="numbering" w:styleId="WW8Num4">
    <w:name w:val="WW8Num4"/>
    <w:qFormat/>
  </w:style>
  <w:style w:type="numbering" w:styleId="WW8Num8">
    <w:name w:val="WW8Num8"/>
    <w:qFormat/>
  </w:style>
  <w:style w:type="numbering" w:styleId="WW8Num81">
    <w:name w:val="WW8Num81"/>
    <w:qFormat/>
  </w:style>
  <w:style w:type="numbering" w:styleId="WW8Num17">
    <w:name w:val="WW8Num17"/>
    <w:qFormat/>
  </w:style>
  <w:style w:type="numbering" w:styleId="WW8Num33">
    <w:name w:val="WW8Num33"/>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1926</TotalTime>
  <Application>LibreOffice/25.2.5.2$Windows_X86_64 LibreOffice_project/03d19516eb2e1dd5d4ccd751a0d6f35f35e08022</Application>
  <AppVersion>15.0000</AppVersion>
  <Pages>2</Pages>
  <Words>1316</Words>
  <Characters>7841</Characters>
  <CharactersWithSpaces>9647</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2021-12-21T14:40:00Z</dcterms:created>
  <dc:creator>korisnik</dc:creator>
  <dc:description/>
  <dc:language>hr-HR</dc:language>
  <cp:lastModifiedBy/>
  <cp:lastPrinted>2025-10-20T07:20:35Z</cp:lastPrinted>
  <dcterms:modified xsi:type="dcterms:W3CDTF">2025-10-20T10:14:39Z</dcterms:modified>
  <cp:revision>176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