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92" w:rsidRPr="00860929" w:rsidRDefault="00031792" w:rsidP="00031792">
      <w:pPr>
        <w:pStyle w:val="BodyText"/>
        <w:rPr>
          <w:rFonts w:cs="Arial"/>
          <w:b/>
          <w:bCs/>
          <w:color w:val="000000"/>
        </w:rPr>
      </w:pPr>
      <w:r w:rsidRPr="00860929">
        <w:rPr>
          <w:rFonts w:cs="Arial"/>
          <w:b/>
          <w:bCs/>
          <w:color w:val="000000"/>
        </w:rPr>
        <w:t>Prilog 4. – Izjava prijavitelja</w:t>
      </w:r>
    </w:p>
    <w:p w:rsidR="00031792" w:rsidRPr="00860929" w:rsidRDefault="00031792" w:rsidP="00031792">
      <w:pPr>
        <w:pStyle w:val="BodyText"/>
        <w:rPr>
          <w:rFonts w:cs="Arial"/>
          <w:color w:val="000000"/>
          <w:szCs w:val="22"/>
        </w:rPr>
      </w:pPr>
      <w:r w:rsidRPr="00860929">
        <w:rPr>
          <w:rFonts w:cs="Arial"/>
          <w:color w:val="000000"/>
          <w:szCs w:val="22"/>
        </w:rPr>
        <w:t>_________________________________________________________________________</w:t>
      </w:r>
    </w:p>
    <w:p w:rsidR="00031792" w:rsidRDefault="00031792" w:rsidP="00031792">
      <w:pPr>
        <w:rPr>
          <w:rFonts w:cs="Arial"/>
          <w:sz w:val="20"/>
          <w:szCs w:val="20"/>
          <w:lang w:val="hr-HR"/>
        </w:rPr>
      </w:pPr>
    </w:p>
    <w:p w:rsidR="00031792" w:rsidRPr="00860929" w:rsidRDefault="00031792" w:rsidP="00031792">
      <w:pPr>
        <w:rPr>
          <w:rFonts w:cs="Arial"/>
          <w:b/>
          <w:sz w:val="20"/>
          <w:szCs w:val="20"/>
          <w:lang w:val="hr-HR"/>
        </w:rPr>
      </w:pPr>
      <w:r w:rsidRPr="00860929">
        <w:rPr>
          <w:rFonts w:cs="Arial"/>
          <w:sz w:val="20"/>
          <w:szCs w:val="20"/>
          <w:lang w:val="hr-HR"/>
        </w:rPr>
        <w:t xml:space="preserve">Ja </w:t>
      </w:r>
      <w:r w:rsidRPr="00860929">
        <w:rPr>
          <w:rFonts w:cs="Arial"/>
          <w:b/>
          <w:bCs/>
          <w:sz w:val="20"/>
          <w:szCs w:val="20"/>
          <w:lang w:val="hr-HR"/>
        </w:rPr>
        <w:t>&lt;</w:t>
      </w:r>
      <w:r w:rsidRPr="00860929">
        <w:rPr>
          <w:rFonts w:cs="Arial"/>
          <w:b/>
          <w:bCs/>
          <w:i/>
          <w:sz w:val="20"/>
          <w:szCs w:val="20"/>
          <w:lang w:val="hr-HR"/>
        </w:rPr>
        <w:t>umetnuti</w:t>
      </w:r>
      <w:r>
        <w:rPr>
          <w:rFonts w:cs="Arial"/>
          <w:b/>
          <w:bCs/>
          <w:i/>
          <w:sz w:val="20"/>
          <w:szCs w:val="20"/>
          <w:lang w:val="hr-HR"/>
        </w:rPr>
        <w:t>:</w:t>
      </w:r>
      <w:r w:rsidRPr="00860929">
        <w:rPr>
          <w:rFonts w:cs="Arial"/>
          <w:b/>
          <w:bCs/>
          <w:i/>
          <w:sz w:val="20"/>
          <w:szCs w:val="20"/>
          <w:lang w:val="hr-HR"/>
        </w:rPr>
        <w:t xml:space="preserve"> ime</w:t>
      </w:r>
      <w:r>
        <w:rPr>
          <w:rFonts w:cs="Arial"/>
          <w:b/>
          <w:bCs/>
          <w:i/>
          <w:sz w:val="20"/>
          <w:szCs w:val="20"/>
          <w:lang w:val="hr-HR"/>
        </w:rPr>
        <w:t xml:space="preserve"> i prezime </w:t>
      </w:r>
      <w:r w:rsidRPr="00860929">
        <w:rPr>
          <w:rFonts w:cs="Arial"/>
          <w:b/>
          <w:bCs/>
          <w:i/>
          <w:sz w:val="20"/>
          <w:szCs w:val="20"/>
          <w:lang w:val="hr-HR"/>
        </w:rPr>
        <w:t>/</w:t>
      </w:r>
      <w:r>
        <w:rPr>
          <w:rFonts w:cs="Arial"/>
          <w:b/>
          <w:bCs/>
          <w:i/>
          <w:sz w:val="20"/>
          <w:szCs w:val="20"/>
          <w:lang w:val="hr-HR"/>
        </w:rPr>
        <w:t xml:space="preserve"> </w:t>
      </w:r>
      <w:r w:rsidRPr="00860929">
        <w:rPr>
          <w:rFonts w:cs="Arial"/>
          <w:b/>
          <w:bCs/>
          <w:i/>
          <w:sz w:val="20"/>
          <w:szCs w:val="20"/>
          <w:lang w:val="hr-HR"/>
        </w:rPr>
        <w:t xml:space="preserve">naziv, adresa, OIB </w:t>
      </w:r>
      <w:r w:rsidRPr="00860929">
        <w:rPr>
          <w:rFonts w:cs="Arial"/>
          <w:b/>
          <w:bCs/>
          <w:sz w:val="20"/>
          <w:szCs w:val="20"/>
          <w:lang w:val="hr-HR"/>
        </w:rPr>
        <w:t>&gt;</w:t>
      </w:r>
      <w:r w:rsidRPr="00860929">
        <w:rPr>
          <w:rFonts w:cs="Arial"/>
          <w:sz w:val="20"/>
          <w:szCs w:val="20"/>
          <w:lang w:val="hr-HR"/>
        </w:rPr>
        <w:t>, dolje potpisani, kao osoba ovlaštena za zastupanje prijavitelja, osobno i u ime prijavitelja potvrđujem da su podaci sadržani u dokumentaciji prijave u sklopu Javnog poziva za dodjelu potpora male vrijednosti (</w:t>
      </w:r>
      <w:r w:rsidRPr="00860929">
        <w:rPr>
          <w:rFonts w:cs="Arial"/>
          <w:i/>
          <w:iCs/>
          <w:sz w:val="20"/>
          <w:szCs w:val="20"/>
          <w:lang w:val="hr-HR"/>
        </w:rPr>
        <w:t>de minimis</w:t>
      </w:r>
      <w:r w:rsidRPr="00860929">
        <w:rPr>
          <w:rFonts w:cs="Arial"/>
          <w:sz w:val="20"/>
          <w:szCs w:val="20"/>
          <w:lang w:val="hr-HR"/>
        </w:rPr>
        <w:t>) za mjere poticanja zapošljavanja u 202</w:t>
      </w:r>
      <w:r>
        <w:rPr>
          <w:rFonts w:cs="Arial"/>
          <w:sz w:val="20"/>
          <w:szCs w:val="20"/>
          <w:lang w:val="hr-HR"/>
        </w:rPr>
        <w:t>1</w:t>
      </w:r>
      <w:r w:rsidRPr="00860929">
        <w:rPr>
          <w:rFonts w:cs="Arial"/>
          <w:sz w:val="20"/>
          <w:szCs w:val="20"/>
          <w:lang w:val="hr-HR"/>
        </w:rPr>
        <w:t xml:space="preserve">. godini, </w:t>
      </w:r>
      <w:r w:rsidRPr="00860929">
        <w:rPr>
          <w:rFonts w:cs="Arial"/>
          <w:b/>
          <w:sz w:val="20"/>
          <w:szCs w:val="20"/>
          <w:lang w:val="hr-HR"/>
        </w:rPr>
        <w:t>istiniti i točni</w:t>
      </w:r>
      <w:r w:rsidRPr="00860929">
        <w:rPr>
          <w:rFonts w:cs="Arial"/>
          <w:sz w:val="20"/>
          <w:szCs w:val="20"/>
          <w:lang w:val="hr-HR"/>
        </w:rPr>
        <w:t>.</w:t>
      </w:r>
    </w:p>
    <w:p w:rsidR="00031792" w:rsidRPr="00860929" w:rsidRDefault="00031792" w:rsidP="00031792">
      <w:pPr>
        <w:tabs>
          <w:tab w:val="left" w:pos="1257"/>
        </w:tabs>
        <w:rPr>
          <w:rFonts w:cs="Arial"/>
          <w:sz w:val="20"/>
          <w:szCs w:val="20"/>
          <w:lang w:val="hr-HR"/>
        </w:rPr>
      </w:pPr>
      <w:r w:rsidRPr="00860929">
        <w:rPr>
          <w:rFonts w:cs="Arial"/>
          <w:sz w:val="20"/>
          <w:szCs w:val="20"/>
          <w:lang w:val="hr-HR"/>
        </w:rPr>
        <w:t>Poštujući načelo</w:t>
      </w:r>
      <w:r w:rsidRPr="00860929">
        <w:rPr>
          <w:rFonts w:cs="Arial"/>
          <w:b/>
          <w:sz w:val="20"/>
          <w:szCs w:val="20"/>
          <w:lang w:val="hr-HR"/>
        </w:rPr>
        <w:t xml:space="preserve"> zabrane višestrukog dodjeljivanja bespovratnih sredstava</w:t>
      </w:r>
      <w:r w:rsidRPr="00860929">
        <w:rPr>
          <w:rFonts w:cs="Arial"/>
          <w:sz w:val="20"/>
          <w:szCs w:val="20"/>
          <w:lang w:val="hr-HR"/>
        </w:rPr>
        <w:t>, osobno i u ime prijavitelja potvrđujem da iz proračuna</w:t>
      </w:r>
      <w:r>
        <w:rPr>
          <w:rFonts w:cs="Arial"/>
          <w:sz w:val="20"/>
          <w:szCs w:val="20"/>
          <w:lang w:val="hr-HR"/>
        </w:rPr>
        <w:t xml:space="preserve"> RH i EU</w:t>
      </w:r>
      <w:r w:rsidRPr="00860929">
        <w:rPr>
          <w:rFonts w:cs="Arial"/>
          <w:sz w:val="20"/>
          <w:szCs w:val="20"/>
          <w:lang w:val="hr-HR"/>
        </w:rPr>
        <w:t xml:space="preserve"> nisu primljena bespovratna sredstva koja se odnose na isto djelovanje.</w:t>
      </w:r>
    </w:p>
    <w:p w:rsidR="00031792" w:rsidRPr="00860929" w:rsidRDefault="00031792" w:rsidP="00031792">
      <w:pPr>
        <w:tabs>
          <w:tab w:val="left" w:pos="1257"/>
        </w:tabs>
        <w:rPr>
          <w:rFonts w:cs="Arial"/>
          <w:sz w:val="20"/>
          <w:szCs w:val="20"/>
          <w:lang w:val="hr-HR"/>
        </w:rPr>
      </w:pPr>
      <w:r w:rsidRPr="00860929">
        <w:rPr>
          <w:rFonts w:cs="Arial"/>
          <w:sz w:val="20"/>
          <w:szCs w:val="20"/>
          <w:lang w:val="hr-HR"/>
        </w:rPr>
        <w:t xml:space="preserve">Potpisom ove Izjave osobno i u ime prijavitelja potvrđujem da su na strani prijavitelja ispunjeni preduvjeti za sudjelovanje u postupku dodjele potpora male vrijednosti, odnosno da se prijavitelj, niti dolje spominjane osobe </w:t>
      </w:r>
      <w:r w:rsidRPr="00860929">
        <w:rPr>
          <w:rFonts w:cs="Arial"/>
          <w:bCs/>
          <w:sz w:val="20"/>
          <w:szCs w:val="20"/>
          <w:lang w:val="hr-HR"/>
        </w:rPr>
        <w:t>ne nalaze niti u jednoj od situacija za isključenje, te pod materijalnom i kaznenom odgovornošću izjavljujem da</w:t>
      </w:r>
      <w:r w:rsidRPr="00860929">
        <w:rPr>
          <w:rFonts w:cs="Arial"/>
          <w:sz w:val="20"/>
          <w:szCs w:val="20"/>
          <w:lang w:val="hr-HR"/>
        </w:rPr>
        <w:t>:</w:t>
      </w:r>
    </w:p>
    <w:p w:rsidR="00031792" w:rsidRPr="00860929" w:rsidRDefault="00031792" w:rsidP="00031792">
      <w:pPr>
        <w:pStyle w:val="NoSpacing"/>
        <w:numPr>
          <w:ilvl w:val="0"/>
          <w:numId w:val="1"/>
        </w:numPr>
        <w:spacing w:line="276" w:lineRule="auto"/>
        <w:jc w:val="both"/>
        <w:rPr>
          <w:rStyle w:val="normaltextrun"/>
          <w:rFonts w:ascii="Arial" w:hAnsi="Arial" w:cs="Arial"/>
        </w:rPr>
      </w:pPr>
      <w:r w:rsidRPr="00860929">
        <w:rPr>
          <w:rStyle w:val="normaltextrun"/>
          <w:rFonts w:ascii="Arial" w:hAnsi="Arial" w:cs="Arial"/>
          <w:color w:val="000000"/>
          <w:shd w:val="clear" w:color="auto" w:fill="FFFFFF"/>
        </w:rPr>
        <w:t>Prijavitelj je izvršio povrat sredstava prema odluci nadležnog tijela;</w:t>
      </w:r>
    </w:p>
    <w:p w:rsidR="00031792" w:rsidRPr="00860929" w:rsidRDefault="00031792" w:rsidP="00031792">
      <w:pPr>
        <w:pStyle w:val="NoSpacing"/>
        <w:numPr>
          <w:ilvl w:val="0"/>
          <w:numId w:val="1"/>
        </w:numPr>
        <w:spacing w:line="276" w:lineRule="auto"/>
        <w:jc w:val="both"/>
        <w:rPr>
          <w:rStyle w:val="normaltextrun"/>
          <w:rFonts w:ascii="Arial" w:hAnsi="Arial" w:cs="Arial"/>
        </w:rPr>
      </w:pPr>
      <w:r w:rsidRPr="00860929">
        <w:rPr>
          <w:rStyle w:val="normaltextrun"/>
          <w:rFonts w:ascii="Arial" w:hAnsi="Arial" w:cs="Arial"/>
        </w:rPr>
        <w:t>Prijavitelj nije u postupku prisilnog povrata sredstava;</w:t>
      </w:r>
    </w:p>
    <w:p w:rsidR="00031792" w:rsidRPr="00860929" w:rsidRDefault="00031792" w:rsidP="00031792">
      <w:pPr>
        <w:pStyle w:val="NoSpacing"/>
        <w:numPr>
          <w:ilvl w:val="0"/>
          <w:numId w:val="1"/>
        </w:numPr>
        <w:spacing w:line="276" w:lineRule="auto"/>
        <w:jc w:val="both"/>
        <w:rPr>
          <w:rStyle w:val="normaltextrun"/>
          <w:rFonts w:ascii="Arial" w:hAnsi="Arial" w:cs="Arial"/>
        </w:rPr>
      </w:pPr>
      <w:r w:rsidRPr="00860929">
        <w:rPr>
          <w:rStyle w:val="normaltextrun"/>
          <w:rFonts w:ascii="Arial" w:hAnsi="Arial" w:cs="Arial"/>
        </w:rPr>
        <w:t>Prijavitelj ne podliježe neizvršenom nalogu za povrat sredstava;</w:t>
      </w:r>
    </w:p>
    <w:p w:rsidR="00031792" w:rsidRPr="00860929" w:rsidRDefault="00031792" w:rsidP="00031792">
      <w:pPr>
        <w:pStyle w:val="NoSpacing"/>
        <w:numPr>
          <w:ilvl w:val="0"/>
          <w:numId w:val="1"/>
        </w:numPr>
        <w:jc w:val="both"/>
        <w:rPr>
          <w:rStyle w:val="normaltextrun"/>
          <w:rFonts w:ascii="Arial" w:hAnsi="Arial" w:cs="Arial"/>
        </w:rPr>
      </w:pPr>
      <w:r w:rsidRPr="00860929">
        <w:rPr>
          <w:rStyle w:val="normaltextrun"/>
          <w:rFonts w:ascii="Arial" w:hAnsi="Arial" w:cs="Arial"/>
        </w:rPr>
        <w:t>Projekt ne uključuje aktivnosti koje su bile dio operacije koja je, ili je trebala biti, podložna postupku povrata sredstava;</w:t>
      </w:r>
    </w:p>
    <w:p w:rsidR="00031792" w:rsidRPr="00860929" w:rsidRDefault="00031792" w:rsidP="00031792">
      <w:pPr>
        <w:pStyle w:val="ListParagraph"/>
        <w:numPr>
          <w:ilvl w:val="0"/>
          <w:numId w:val="1"/>
        </w:numPr>
        <w:contextualSpacing w:val="0"/>
        <w:rPr>
          <w:rFonts w:cs="Arial"/>
          <w:sz w:val="20"/>
          <w:szCs w:val="20"/>
          <w:lang w:val="hr-HR"/>
        </w:rPr>
      </w:pPr>
      <w:r w:rsidRPr="00860929">
        <w:rPr>
          <w:rFonts w:cs="Arial"/>
          <w:sz w:val="20"/>
          <w:szCs w:val="20"/>
          <w:lang w:val="hr-HR"/>
        </w:rPr>
        <w:t>Prijavitelj nije poduzetnik u teškoćama;</w:t>
      </w:r>
    </w:p>
    <w:p w:rsidR="00031792" w:rsidRPr="00860929" w:rsidRDefault="00031792" w:rsidP="00031792">
      <w:pPr>
        <w:pStyle w:val="ListParagraph"/>
        <w:numPr>
          <w:ilvl w:val="0"/>
          <w:numId w:val="1"/>
        </w:numPr>
        <w:contextualSpacing w:val="0"/>
        <w:rPr>
          <w:rFonts w:cs="Arial"/>
          <w:sz w:val="20"/>
          <w:szCs w:val="20"/>
          <w:lang w:val="hr-HR" w:eastAsia="hr-HR"/>
        </w:rPr>
      </w:pPr>
      <w:r w:rsidRPr="00860929">
        <w:rPr>
          <w:rFonts w:cs="Arial"/>
          <w:sz w:val="20"/>
          <w:szCs w:val="20"/>
          <w:lang w:val="hr-HR"/>
        </w:rPr>
        <w:t>Prijavitelj se ne nalazi niti u jednom od dalje navedenih slučajeva: nad gospodarskim subjektom nije otvoren stečajni postupak, nije nesposoban za plaćanje ili prezadužen, ili u postupku likvidacije, njegovom imovinom ne upravlja stečajni upravitelj ili sud, nije u nagodbi s vjerovnicima, nije  obustavio poslovne aktivnosti ili nije u bilo kakvoj istovrsnoj situaciji koja proizlazi iz sličnog postupka prema nacionalnim zakonima i propisima, ili koji se ne nalazi u postupcima koji su, prema propisima države njegova sjedišta ili nastana kojima se regulira pitanje indolencijskog prava, slični svim prethodno navedenim postupcima;</w:t>
      </w:r>
    </w:p>
    <w:p w:rsidR="00031792" w:rsidRPr="00860929" w:rsidRDefault="00031792" w:rsidP="00031792">
      <w:pPr>
        <w:pStyle w:val="ListParagraph"/>
        <w:numPr>
          <w:ilvl w:val="0"/>
          <w:numId w:val="1"/>
        </w:numPr>
        <w:contextualSpacing w:val="0"/>
        <w:rPr>
          <w:rStyle w:val="eop"/>
          <w:rFonts w:cs="Arial"/>
          <w:sz w:val="20"/>
          <w:szCs w:val="20"/>
          <w:lang w:val="hr-HR" w:eastAsia="hr-HR"/>
        </w:rPr>
      </w:pPr>
      <w:r w:rsidRPr="00860929">
        <w:rPr>
          <w:rFonts w:cs="Arial"/>
          <w:sz w:val="20"/>
          <w:szCs w:val="20"/>
          <w:lang w:val="hr-HR"/>
        </w:rPr>
        <w:t xml:space="preserve">Prijavitelj ili osoba ovlaštena po zakonu za zastupanje prijavitelja (osobe koja je član upravnog, upravljačkog ili nadzornog tijela ili ima ovlasti zastupanja, donošenja odluka ili nadzora toga gospodarskog subjekta) NIJE pravomoćno osuđena za bilo koje od sljedećih kaznenih djela odnosno za odgovarajuća kaznena djela prema propisima države njihova sjedišta ili države čiji je državljanin osoba ovlaštena po zakonu za zastupanje prijavitelja: a) </w:t>
      </w:r>
      <w:r w:rsidRPr="00860929">
        <w:rPr>
          <w:rStyle w:val="eop"/>
          <w:rFonts w:cs="Arial"/>
          <w:color w:val="000000"/>
          <w:sz w:val="20"/>
          <w:szCs w:val="20"/>
          <w:shd w:val="clear" w:color="auto" w:fill="FFFFFF"/>
          <w:lang w:val="hr-HR"/>
        </w:rPr>
        <w:t xml:space="preserve">sudjelovanje u zločinačkoj organizaciji, na temelju članka 328. (zločinačko udruženje) i članka 329. (počinjenje kaznenog djela u sastavu zločinačkog udruženja) Kaznenog zakona </w:t>
      </w:r>
      <w:r w:rsidRPr="00860929">
        <w:rPr>
          <w:rFonts w:cs="Arial"/>
          <w:color w:val="000000"/>
          <w:sz w:val="20"/>
          <w:szCs w:val="20"/>
          <w:shd w:val="clear" w:color="auto" w:fill="FFFFFF"/>
          <w:lang w:val="hr-HR"/>
        </w:rPr>
        <w:t>(NN, br. 125/11, 144/12, 56/15, 61/15, 101/17, 118/18)</w:t>
      </w:r>
      <w:r w:rsidRPr="00860929">
        <w:rPr>
          <w:rStyle w:val="eop"/>
          <w:rFonts w:cs="Arial"/>
          <w:color w:val="000000"/>
          <w:sz w:val="20"/>
          <w:szCs w:val="20"/>
          <w:shd w:val="clear" w:color="auto" w:fill="FFFFFF"/>
          <w:lang w:val="hr-HR"/>
        </w:rPr>
        <w:t xml:space="preserve">, članka 333. (udruživanje za počinjenje kaznenih djela) iz Kaznenog zakona NN, br. 110/97, 27/98, 50/00, 129/00, 51/01, 111/03, 190/03, 105/04, 84/05, 71/06, 110/07, 152/08, 57/11, 77/11 i 143/12), b) terorizam ili kaznena djela povezana s terorističkim aktivnostima, na temelju članka 97. (terorizam), članka 99. (javno poticanje na terorizam), članka 100. (novačenje za terorizam), članka 101. (obuka za terorizam),članka 101.a (putovanje u svrhu terorizma) i članka 102. (terorističko udruženje) Kaznenog zakona </w:t>
      </w:r>
      <w:r w:rsidRPr="00860929">
        <w:rPr>
          <w:rFonts w:cs="Arial"/>
          <w:color w:val="000000"/>
          <w:sz w:val="20"/>
          <w:szCs w:val="20"/>
          <w:shd w:val="clear" w:color="auto" w:fill="FFFFFF"/>
          <w:lang w:val="hr-HR"/>
        </w:rPr>
        <w:t>(NN, br. 125/11, 144/12, 56/15, 61/15, 101/17, 118/18)</w:t>
      </w:r>
      <w:r w:rsidRPr="00860929">
        <w:rPr>
          <w:rStyle w:val="eop"/>
          <w:rFonts w:cs="Arial"/>
          <w:color w:val="000000"/>
          <w:sz w:val="20"/>
          <w:szCs w:val="20"/>
          <w:shd w:val="clear" w:color="auto" w:fill="FFFFFF"/>
          <w:lang w:val="hr-HR"/>
        </w:rPr>
        <w:t xml:space="preserve">, članka 169. (terorizam), članka 169.a (javno poticanje na terorizam) i članka 169.b (novačenje i obuka za terorizam) iz Kaznenog zakona (NN, br. 110/97, 27/98, 50/00, 129/00, 51/01, 111/03, 190/03, 105/04, 84/05, 71/06, 110/07, 152/08, 57/11, 77/11 i 143/12), c) pranje novca ili financiranje terorizma, na temelju članka 98. (financiranje terorizma) i članka 265. (pranje novca) Kaznenog zakona </w:t>
      </w:r>
      <w:r w:rsidRPr="00860929">
        <w:rPr>
          <w:rFonts w:cs="Arial"/>
          <w:color w:val="000000"/>
          <w:sz w:val="20"/>
          <w:szCs w:val="20"/>
          <w:shd w:val="clear" w:color="auto" w:fill="FFFFFF"/>
          <w:lang w:val="hr-HR"/>
        </w:rPr>
        <w:t>(NN, br. 125/11, 144/12, 56/15, 61/15, 101/17, 118/18)</w:t>
      </w:r>
      <w:r w:rsidRPr="00860929">
        <w:rPr>
          <w:rStyle w:val="eop"/>
          <w:rFonts w:cs="Arial"/>
          <w:color w:val="000000"/>
          <w:sz w:val="20"/>
          <w:szCs w:val="20"/>
          <w:shd w:val="clear" w:color="auto" w:fill="FFFFFF"/>
          <w:lang w:val="hr-HR"/>
        </w:rPr>
        <w:t xml:space="preserve">, članka 279. (pranje novca) iz Kaznenog zakona (NN, br. 110/97, 27/98, 50/00, 129/00, 51/01, 111/03, 190/03, 105/04, 84/05, 71/06, 110/07, 152/08, 57/11, 77/11 i 143/12), d) dječji rad ili druge oblike trgovanja ljudima, na temelju članka 106. (trgovanje ljudima) Kaznenog zakona </w:t>
      </w:r>
      <w:r w:rsidRPr="00860929">
        <w:rPr>
          <w:rFonts w:cs="Arial"/>
          <w:color w:val="000000"/>
          <w:sz w:val="20"/>
          <w:szCs w:val="20"/>
          <w:shd w:val="clear" w:color="auto" w:fill="FFFFFF"/>
          <w:lang w:val="hr-HR"/>
        </w:rPr>
        <w:t xml:space="preserve">(NN, br. </w:t>
      </w:r>
      <w:r w:rsidRPr="00860929">
        <w:rPr>
          <w:rFonts w:cs="Arial"/>
          <w:color w:val="000000"/>
          <w:sz w:val="20"/>
          <w:szCs w:val="20"/>
          <w:shd w:val="clear" w:color="auto" w:fill="FFFFFF"/>
          <w:lang w:val="hr-HR"/>
        </w:rPr>
        <w:lastRenderedPageBreak/>
        <w:t>125/11, 144/12, 56/15, 61/15, 101/17, 118/18)</w:t>
      </w:r>
      <w:r w:rsidRPr="00860929">
        <w:rPr>
          <w:rStyle w:val="eop"/>
          <w:rFonts w:cs="Arial"/>
          <w:color w:val="000000"/>
          <w:sz w:val="20"/>
          <w:szCs w:val="20"/>
          <w:shd w:val="clear" w:color="auto" w:fill="FFFFFF"/>
          <w:lang w:val="hr-HR"/>
        </w:rPr>
        <w:t xml:space="preserve">, članka 175. (trgovanje ljudima i ropstvo) iz Kaznenog zakona (NN, br. 110/97, 27/98, 50/00, 129/00, 51/01, 111/03, 190/03, 105/04, 84/05, 71/06, 110/07, 152/08, 57/11, 77/11 i 143/12), 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r w:rsidRPr="00860929">
        <w:rPr>
          <w:rFonts w:cs="Arial"/>
          <w:color w:val="000000"/>
          <w:sz w:val="20"/>
          <w:szCs w:val="20"/>
          <w:shd w:val="clear" w:color="auto" w:fill="FFFFFF"/>
          <w:lang w:val="hr-HR"/>
        </w:rPr>
        <w:t>(NN, br. 125/11, 144/12, 56/15, 61/15, 101/17, 118/18)</w:t>
      </w:r>
      <w:r w:rsidRPr="00860929">
        <w:rPr>
          <w:rStyle w:val="eop"/>
          <w:rFonts w:cs="Arial"/>
          <w:color w:val="000000"/>
          <w:sz w:val="20"/>
          <w:szCs w:val="20"/>
          <w:shd w:val="clear" w:color="auto" w:fill="FFFFFF"/>
          <w:lang w:val="hr-HR"/>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f) prijevaru, na temelju članka 236. (prijevara), članka 247. (prijevara u gospodarskom poslovanju), članka 256. (utaja poreza ili carine) i članka 258. (subvencijska prijevara) Kaznenog zakona </w:t>
      </w:r>
      <w:r w:rsidRPr="00860929">
        <w:rPr>
          <w:rFonts w:cs="Arial"/>
          <w:color w:val="000000"/>
          <w:sz w:val="20"/>
          <w:szCs w:val="20"/>
          <w:shd w:val="clear" w:color="auto" w:fill="FFFFFF"/>
          <w:lang w:val="hr-HR"/>
        </w:rPr>
        <w:t>(NN, br. 125/11, 144/12, 56/15, 61/15, 101/17, 118/18)</w:t>
      </w:r>
      <w:r w:rsidRPr="00860929">
        <w:rPr>
          <w:rStyle w:val="eop"/>
          <w:rFonts w:cs="Arial"/>
          <w:color w:val="000000"/>
          <w:sz w:val="20"/>
          <w:szCs w:val="20"/>
          <w:shd w:val="clear" w:color="auto" w:fill="FFFFFF"/>
          <w:lang w:val="hr-HR"/>
        </w:rPr>
        <w:t>. članka 224. (prijevara), članka 293. (prijevara u gospodarskom poslovanju) i članka 286. (utaja poreza i drugih davanja) iz Kaznenog zakona (NN, br. 110/97, 27/98, 50/00, 129/00, 51/01, 111/03, 190/03, 105/04, 84/05, 71/06, 110/07, 152/08, 57/11, 77/11 i 143/12);</w:t>
      </w:r>
    </w:p>
    <w:p w:rsidR="00031792" w:rsidRPr="00860929" w:rsidRDefault="00031792" w:rsidP="00031792">
      <w:pPr>
        <w:pStyle w:val="NoSpacing"/>
        <w:numPr>
          <w:ilvl w:val="0"/>
          <w:numId w:val="1"/>
        </w:numPr>
        <w:ind w:hanging="357"/>
        <w:jc w:val="both"/>
        <w:rPr>
          <w:rFonts w:ascii="Arial" w:hAnsi="Arial" w:cs="Arial"/>
          <w:sz w:val="20"/>
          <w:szCs w:val="20"/>
        </w:rPr>
      </w:pPr>
      <w:r w:rsidRPr="00860929">
        <w:rPr>
          <w:rFonts w:ascii="Arial" w:eastAsia="Times New Roman" w:hAnsi="Arial" w:cs="Arial"/>
          <w:sz w:val="20"/>
          <w:szCs w:val="20"/>
        </w:rPr>
        <w:t xml:space="preserve">Prijavitelj ili osobe ovlaštene po zakonu za zastupanje nisu proglašene krivima zbog </w:t>
      </w:r>
      <w:r w:rsidRPr="00860929">
        <w:rPr>
          <w:rFonts w:ascii="Arial" w:eastAsia="Times New Roman" w:hAnsi="Arial" w:cs="Arial"/>
          <w:b/>
          <w:sz w:val="20"/>
          <w:szCs w:val="20"/>
        </w:rPr>
        <w:t>teškog profesionalnog propusta</w:t>
      </w:r>
      <w:r w:rsidRPr="00860929">
        <w:rPr>
          <w:rFonts w:ascii="Arial" w:eastAsia="Times New Roman" w:hAnsi="Arial" w:cs="Arial"/>
          <w:b/>
          <w:sz w:val="20"/>
          <w:szCs w:val="20"/>
          <w:vertAlign w:val="superscript"/>
          <w:lang w:eastAsia="hr-HR"/>
        </w:rPr>
        <w:footnoteReference w:id="2"/>
      </w:r>
      <w:r w:rsidRPr="00860929">
        <w:rPr>
          <w:rFonts w:ascii="Arial" w:eastAsia="Times New Roman" w:hAnsi="Arial" w:cs="Arial"/>
          <w:b/>
          <w:sz w:val="20"/>
          <w:szCs w:val="20"/>
        </w:rPr>
        <w:t>;</w:t>
      </w:r>
    </w:p>
    <w:p w:rsidR="00031792" w:rsidRPr="00860929" w:rsidRDefault="00031792" w:rsidP="00031792">
      <w:pPr>
        <w:numPr>
          <w:ilvl w:val="0"/>
          <w:numId w:val="1"/>
        </w:numPr>
        <w:rPr>
          <w:rFonts w:cs="Arial"/>
          <w:sz w:val="20"/>
          <w:szCs w:val="20"/>
          <w:lang w:val="hr-HR"/>
        </w:rPr>
      </w:pPr>
      <w:r w:rsidRPr="00860929">
        <w:rPr>
          <w:rFonts w:cs="Arial"/>
          <w:sz w:val="20"/>
          <w:szCs w:val="20"/>
          <w:lang w:val="hr-HR"/>
        </w:rPr>
        <w:t xml:space="preserve">Prijavitelj je ispunio obveze isplate </w:t>
      </w:r>
      <w:r w:rsidRPr="00860929">
        <w:rPr>
          <w:rFonts w:cs="Arial"/>
          <w:b/>
          <w:sz w:val="20"/>
          <w:szCs w:val="20"/>
          <w:lang w:val="hr-HR"/>
        </w:rPr>
        <w:t>plaća</w:t>
      </w:r>
      <w:r w:rsidRPr="00860929">
        <w:rPr>
          <w:rFonts w:cs="Arial"/>
          <w:sz w:val="20"/>
          <w:szCs w:val="20"/>
          <w:lang w:val="hr-HR"/>
        </w:rPr>
        <w:t xml:space="preserve"> zaposlenicima, </w:t>
      </w:r>
      <w:r w:rsidRPr="00860929">
        <w:rPr>
          <w:rFonts w:cs="Arial"/>
          <w:b/>
          <w:sz w:val="20"/>
          <w:szCs w:val="20"/>
          <w:lang w:val="hr-HR"/>
        </w:rPr>
        <w:t>plaćanja doprinosa za financiranje obveznih osiguranja</w:t>
      </w:r>
      <w:r w:rsidRPr="00860929">
        <w:rPr>
          <w:rFonts w:cs="Arial"/>
          <w:sz w:val="20"/>
          <w:szCs w:val="20"/>
          <w:lang w:val="hr-HR"/>
        </w:rPr>
        <w:t xml:space="preserve"> (osobito zdravstveno ili mirovinsko) ili plaćanja </w:t>
      </w:r>
      <w:r w:rsidRPr="00860929">
        <w:rPr>
          <w:rFonts w:cs="Arial"/>
          <w:b/>
          <w:sz w:val="20"/>
          <w:szCs w:val="20"/>
          <w:lang w:val="hr-HR"/>
        </w:rPr>
        <w:t>poreza</w:t>
      </w:r>
      <w:r w:rsidRPr="00860929">
        <w:rPr>
          <w:rFonts w:cs="Arial"/>
          <w:sz w:val="20"/>
          <w:szCs w:val="20"/>
          <w:lang w:val="hr-HR"/>
        </w:rPr>
        <w:t xml:space="preserve"> u skladu s propisima Republike Hrvatske</w:t>
      </w:r>
      <w:r w:rsidRPr="00860929">
        <w:rPr>
          <w:rFonts w:cs="Arial"/>
          <w:iCs/>
          <w:sz w:val="20"/>
          <w:szCs w:val="20"/>
          <w:shd w:val="clear" w:color="auto" w:fill="FFFFFF"/>
          <w:lang w:val="hr-HR"/>
        </w:rPr>
        <w:t>;</w:t>
      </w:r>
    </w:p>
    <w:p w:rsidR="00031792" w:rsidRPr="00860929" w:rsidRDefault="00031792" w:rsidP="00031792">
      <w:pPr>
        <w:numPr>
          <w:ilvl w:val="0"/>
          <w:numId w:val="1"/>
        </w:numPr>
        <w:rPr>
          <w:rFonts w:cs="Arial"/>
          <w:sz w:val="20"/>
          <w:szCs w:val="20"/>
          <w:lang w:val="hr-HR"/>
        </w:rPr>
      </w:pPr>
      <w:r w:rsidRPr="00860929">
        <w:rPr>
          <w:rFonts w:cs="Arial"/>
          <w:sz w:val="20"/>
          <w:szCs w:val="20"/>
          <w:lang w:val="hr-HR"/>
        </w:rPr>
        <w:t xml:space="preserve">Prijavitelj nije u </w:t>
      </w:r>
      <w:r w:rsidRPr="00860929">
        <w:rPr>
          <w:rFonts w:cs="Arial"/>
          <w:b/>
          <w:sz w:val="20"/>
          <w:szCs w:val="20"/>
          <w:lang w:val="hr-HR"/>
        </w:rPr>
        <w:t>sukobu interesa</w:t>
      </w:r>
      <w:r w:rsidRPr="00860929">
        <w:rPr>
          <w:rFonts w:cs="Arial"/>
          <w:sz w:val="20"/>
          <w:szCs w:val="20"/>
          <w:vertAlign w:val="superscript"/>
          <w:lang w:val="hr-HR"/>
        </w:rPr>
        <w:footnoteReference w:id="3"/>
      </w:r>
      <w:r w:rsidRPr="00860929">
        <w:rPr>
          <w:rFonts w:cs="Arial"/>
          <w:sz w:val="20"/>
          <w:szCs w:val="20"/>
          <w:lang w:val="hr-HR"/>
        </w:rPr>
        <w:t xml:space="preserve"> u predmetnom postupku dodjele bespovratnih sredstava;</w:t>
      </w:r>
    </w:p>
    <w:p w:rsidR="00031792" w:rsidRPr="00860929" w:rsidRDefault="00031792" w:rsidP="00031792">
      <w:pPr>
        <w:numPr>
          <w:ilvl w:val="0"/>
          <w:numId w:val="1"/>
        </w:numPr>
        <w:rPr>
          <w:rFonts w:cs="Arial"/>
          <w:sz w:val="20"/>
          <w:szCs w:val="20"/>
          <w:lang w:val="hr-HR"/>
        </w:rPr>
      </w:pPr>
      <w:r w:rsidRPr="00860929">
        <w:rPr>
          <w:rFonts w:cs="Arial"/>
          <w:sz w:val="20"/>
          <w:szCs w:val="20"/>
          <w:lang w:val="hr-HR"/>
        </w:rPr>
        <w:t>Prijavitelj pripada kategoriji mikro, malih ili srednjih poduzeća sukladno definiciji malih i srednjih poduzeća na način utvrđen u Prilogu I. Definicija malih i srednjih poduzeća Uredbe Komisije (EU) 651/2014;</w:t>
      </w:r>
    </w:p>
    <w:p w:rsidR="00031792" w:rsidRPr="00860929" w:rsidRDefault="00031792" w:rsidP="00031792">
      <w:pPr>
        <w:pStyle w:val="ListParagraph"/>
        <w:numPr>
          <w:ilvl w:val="0"/>
          <w:numId w:val="1"/>
        </w:numPr>
        <w:contextualSpacing w:val="0"/>
        <w:rPr>
          <w:rFonts w:cs="Arial"/>
          <w:sz w:val="20"/>
          <w:szCs w:val="20"/>
          <w:lang w:val="hr-HR"/>
        </w:rPr>
      </w:pPr>
      <w:r w:rsidRPr="00860929">
        <w:rPr>
          <w:rFonts w:cs="Arial"/>
          <w:sz w:val="20"/>
          <w:szCs w:val="20"/>
          <w:lang w:val="hr-HR" w:eastAsia="hr-HR"/>
        </w:rPr>
        <w:t>Prijavitelj je u trenutku predaje projektnog prijedloga registriran za prihvatljive djelatnosti u okviru Javnog poziva;</w:t>
      </w:r>
    </w:p>
    <w:p w:rsidR="00031792" w:rsidRPr="00860929" w:rsidRDefault="00031792" w:rsidP="00031792">
      <w:pPr>
        <w:numPr>
          <w:ilvl w:val="0"/>
          <w:numId w:val="1"/>
        </w:numPr>
        <w:rPr>
          <w:rFonts w:cs="Arial"/>
          <w:sz w:val="20"/>
          <w:szCs w:val="20"/>
          <w:lang w:val="hr-HR"/>
        </w:rPr>
      </w:pPr>
      <w:r w:rsidRPr="00860929">
        <w:rPr>
          <w:rFonts w:cs="Arial"/>
          <w:sz w:val="20"/>
          <w:szCs w:val="20"/>
          <w:lang w:val="hr-HR"/>
        </w:rPr>
        <w:t>Prijavitelj nije dostavio lažne informacije u sklopu projektnog prijedloga;</w:t>
      </w:r>
    </w:p>
    <w:p w:rsidR="00031792" w:rsidRPr="00860929" w:rsidRDefault="00031792" w:rsidP="00031792">
      <w:pPr>
        <w:pStyle w:val="ListParagraph"/>
        <w:numPr>
          <w:ilvl w:val="0"/>
          <w:numId w:val="1"/>
        </w:numPr>
        <w:contextualSpacing w:val="0"/>
        <w:rPr>
          <w:rFonts w:cs="Arial"/>
          <w:sz w:val="20"/>
          <w:szCs w:val="20"/>
          <w:lang w:val="hr-HR"/>
        </w:rPr>
      </w:pPr>
      <w:r w:rsidRPr="00860929">
        <w:rPr>
          <w:rFonts w:cs="Arial"/>
          <w:sz w:val="20"/>
          <w:szCs w:val="20"/>
          <w:lang w:val="hr-HR"/>
        </w:rPr>
        <w:t xml:space="preserve">Projekt udovoljava svim zahtjevima povezanima s pravilima državnih potpora utvrđenim u Programu dodjele državnih potpora za povećanje inovativnosti malih i srednjih poduzetnika Inovacije u S3 područjima i  potpora male vrijednosti utvrđenima u Programu </w:t>
      </w:r>
      <w:r w:rsidRPr="00860929">
        <w:rPr>
          <w:rFonts w:cs="Arial"/>
          <w:i/>
          <w:iCs/>
          <w:sz w:val="20"/>
          <w:szCs w:val="20"/>
          <w:lang w:val="hr-HR"/>
        </w:rPr>
        <w:t xml:space="preserve">de minimis. </w:t>
      </w:r>
      <w:r w:rsidRPr="00860929">
        <w:rPr>
          <w:rFonts w:cs="Arial"/>
          <w:bCs/>
          <w:iCs/>
          <w:sz w:val="20"/>
          <w:szCs w:val="20"/>
          <w:lang w:val="hr-HR"/>
        </w:rPr>
        <w:t>Ukupan iznos potpore male vrijednosti (</w:t>
      </w:r>
      <w:r w:rsidRPr="00860929">
        <w:rPr>
          <w:rFonts w:cs="Arial"/>
          <w:bCs/>
          <w:i/>
          <w:iCs/>
          <w:sz w:val="20"/>
          <w:szCs w:val="20"/>
          <w:lang w:val="hr-HR"/>
        </w:rPr>
        <w:t>de minimis</w:t>
      </w:r>
      <w:r w:rsidRPr="00860929">
        <w:rPr>
          <w:rFonts w:cs="Arial"/>
          <w:bCs/>
          <w:iCs/>
          <w:sz w:val="20"/>
          <w:szCs w:val="20"/>
          <w:lang w:val="hr-HR"/>
        </w:rPr>
        <w:t>) koja se dodjeljuje jednom poduzetniku, uključujući traženi iznos potpora male vrijednosti prema ovom Pozivu, ne prelazi 200.000,00 EUR u razdoblju od tri fiskalne godine (tekuća fiskalna godina i prethodne dvije godine), odnosno 100.000,00 EUR u sektoru prometa</w:t>
      </w:r>
      <w:r w:rsidRPr="00860929">
        <w:rPr>
          <w:rFonts w:cs="Arial"/>
          <w:sz w:val="20"/>
          <w:szCs w:val="20"/>
          <w:lang w:val="hr-HR"/>
        </w:rPr>
        <w:t xml:space="preserve">; </w:t>
      </w:r>
    </w:p>
    <w:p w:rsidR="00031792" w:rsidRDefault="00031792" w:rsidP="00031792">
      <w:pPr>
        <w:tabs>
          <w:tab w:val="left" w:pos="851"/>
        </w:tabs>
        <w:rPr>
          <w:rFonts w:cs="Arial"/>
          <w:sz w:val="20"/>
          <w:szCs w:val="20"/>
          <w:lang w:val="hr-HR"/>
        </w:rPr>
      </w:pPr>
    </w:p>
    <w:p w:rsidR="00031792" w:rsidRDefault="00031792" w:rsidP="00031792">
      <w:pPr>
        <w:tabs>
          <w:tab w:val="left" w:pos="851"/>
        </w:tabs>
        <w:rPr>
          <w:rFonts w:cs="Arial"/>
          <w:sz w:val="20"/>
          <w:szCs w:val="20"/>
          <w:lang w:val="hr-HR"/>
        </w:rPr>
      </w:pPr>
    </w:p>
    <w:p w:rsidR="00031792" w:rsidRPr="00860929" w:rsidRDefault="00031792" w:rsidP="00031792">
      <w:pPr>
        <w:tabs>
          <w:tab w:val="left" w:pos="851"/>
        </w:tabs>
        <w:rPr>
          <w:rFonts w:cs="Arial"/>
          <w:sz w:val="20"/>
          <w:szCs w:val="20"/>
          <w:lang w:val="hr-HR"/>
        </w:rPr>
      </w:pPr>
    </w:p>
    <w:p w:rsidR="00031792" w:rsidRPr="00860929" w:rsidRDefault="00031792" w:rsidP="00031792">
      <w:pPr>
        <w:tabs>
          <w:tab w:val="left" w:pos="1257"/>
        </w:tabs>
        <w:rPr>
          <w:rFonts w:cs="Arial"/>
          <w:sz w:val="20"/>
          <w:szCs w:val="20"/>
          <w:lang w:val="hr-HR"/>
        </w:rPr>
      </w:pPr>
      <w:r w:rsidRPr="00860929">
        <w:rPr>
          <w:rFonts w:cs="Arial"/>
          <w:b/>
          <w:sz w:val="20"/>
          <w:szCs w:val="20"/>
          <w:lang w:val="hr-HR"/>
        </w:rPr>
        <w:lastRenderedPageBreak/>
        <w:t>Pod materijalnom i kaznenom odgovornošću</w:t>
      </w:r>
      <w:r w:rsidRPr="00860929">
        <w:rPr>
          <w:rFonts w:cs="Arial"/>
          <w:sz w:val="20"/>
          <w:szCs w:val="20"/>
          <w:lang w:val="hr-HR"/>
        </w:rPr>
        <w:t xml:space="preserve">, u svoje ime i u ime prijavitelja potvrđujem da sam kao prijavitelj </w:t>
      </w:r>
      <w:r w:rsidRPr="00860929">
        <w:rPr>
          <w:rFonts w:cs="Arial"/>
          <w:i/>
          <w:sz w:val="20"/>
          <w:szCs w:val="20"/>
          <w:lang w:val="hr-HR"/>
        </w:rPr>
        <w:t xml:space="preserve">i kao osoba po zakonu ovlaštena za zastupanje prijavitelja </w:t>
      </w:r>
      <w:r w:rsidRPr="00860929">
        <w:rPr>
          <w:rFonts w:cs="Arial"/>
          <w:sz w:val="20"/>
          <w:szCs w:val="20"/>
          <w:lang w:val="hr-HR"/>
        </w:rPr>
        <w:t xml:space="preserve">svjestan da će se </w:t>
      </w:r>
      <w:r w:rsidRPr="00860929">
        <w:rPr>
          <w:rFonts w:cs="Arial"/>
          <w:b/>
          <w:sz w:val="20"/>
          <w:szCs w:val="20"/>
          <w:lang w:val="hr-HR"/>
        </w:rPr>
        <w:t>u slučaju davanja lažne izjave</w:t>
      </w:r>
      <w:r w:rsidRPr="00860929">
        <w:rPr>
          <w:rFonts w:cs="Arial"/>
          <w:sz w:val="20"/>
          <w:szCs w:val="20"/>
          <w:lang w:val="hr-HR"/>
        </w:rPr>
        <w:t xml:space="preserve"> ili </w:t>
      </w:r>
      <w:r w:rsidRPr="00860929">
        <w:rPr>
          <w:rFonts w:cs="Arial"/>
          <w:b/>
          <w:sz w:val="20"/>
          <w:szCs w:val="20"/>
          <w:lang w:val="hr-HR"/>
        </w:rPr>
        <w:t>lažnih podataka</w:t>
      </w:r>
      <w:r w:rsidRPr="00860929">
        <w:rPr>
          <w:rFonts w:cs="Arial"/>
          <w:sz w:val="20"/>
          <w:szCs w:val="20"/>
          <w:lang w:val="hr-HR"/>
        </w:rPr>
        <w:t xml:space="preserve"> primijeniti odgovarajuće mjere.</w:t>
      </w:r>
    </w:p>
    <w:p w:rsidR="00031792" w:rsidRPr="00860929" w:rsidRDefault="00031792" w:rsidP="00031792">
      <w:pPr>
        <w:pStyle w:val="NoSpacing"/>
        <w:spacing w:after="120" w:line="276" w:lineRule="auto"/>
        <w:jc w:val="both"/>
        <w:rPr>
          <w:rStyle w:val="normaltextrun"/>
          <w:rFonts w:ascii="Arial" w:hAnsi="Arial" w:cs="Arial"/>
        </w:rPr>
      </w:pPr>
      <w:r w:rsidRPr="00860929">
        <w:rPr>
          <w:rStyle w:val="normaltextrun"/>
          <w:rFonts w:ascii="Arial" w:hAnsi="Arial" w:cs="Arial"/>
        </w:rPr>
        <w:t>_________________________________________________________________________</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39"/>
        <w:gridCol w:w="5477"/>
      </w:tblGrid>
      <w:tr w:rsidR="00031792" w:rsidRPr="00860929" w:rsidTr="0058539E">
        <w:tc>
          <w:tcPr>
            <w:tcW w:w="3539" w:type="dxa"/>
            <w:shd w:val="clear" w:color="auto" w:fill="F2F2F2" w:themeFill="background1" w:themeFillShade="F2"/>
          </w:tcPr>
          <w:p w:rsidR="00031792" w:rsidRPr="00860929" w:rsidRDefault="00031792" w:rsidP="0058539E">
            <w:pPr>
              <w:spacing w:before="60" w:after="60" w:line="259" w:lineRule="auto"/>
              <w:rPr>
                <w:rFonts w:cs="Arial"/>
                <w:i/>
                <w:iCs/>
                <w:color w:val="000000"/>
                <w:lang w:val="hr-HR"/>
              </w:rPr>
            </w:pPr>
            <w:r w:rsidRPr="00860929">
              <w:rPr>
                <w:rFonts w:cs="Arial"/>
                <w:i/>
                <w:iCs/>
                <w:color w:val="000000"/>
                <w:lang w:val="hr-HR"/>
              </w:rPr>
              <w:t>Mjesto i datum</w:t>
            </w:r>
          </w:p>
        </w:tc>
        <w:tc>
          <w:tcPr>
            <w:tcW w:w="5477" w:type="dxa"/>
          </w:tcPr>
          <w:p w:rsidR="00031792" w:rsidRPr="00860929" w:rsidRDefault="00031792" w:rsidP="0058539E">
            <w:pPr>
              <w:spacing w:before="60" w:after="60" w:line="259" w:lineRule="auto"/>
              <w:rPr>
                <w:rFonts w:cs="Arial"/>
                <w:color w:val="000000"/>
                <w:sz w:val="18"/>
                <w:szCs w:val="18"/>
                <w:lang w:val="hr-HR"/>
              </w:rPr>
            </w:pPr>
          </w:p>
        </w:tc>
      </w:tr>
      <w:tr w:rsidR="00031792" w:rsidRPr="00860929" w:rsidTr="0058539E">
        <w:tc>
          <w:tcPr>
            <w:tcW w:w="3539" w:type="dxa"/>
            <w:shd w:val="clear" w:color="auto" w:fill="F2F2F2" w:themeFill="background1" w:themeFillShade="F2"/>
          </w:tcPr>
          <w:p w:rsidR="00031792" w:rsidRPr="00860929" w:rsidRDefault="00031792" w:rsidP="0058539E">
            <w:pPr>
              <w:spacing w:before="60" w:after="60" w:line="259" w:lineRule="auto"/>
              <w:rPr>
                <w:rFonts w:cs="Arial"/>
                <w:i/>
                <w:iCs/>
                <w:color w:val="000000"/>
                <w:lang w:val="hr-HR"/>
              </w:rPr>
            </w:pPr>
            <w:r w:rsidRPr="00860929">
              <w:rPr>
                <w:rFonts w:cs="Arial"/>
                <w:i/>
                <w:iCs/>
                <w:color w:val="000000"/>
                <w:lang w:val="hr-HR"/>
              </w:rPr>
              <w:t xml:space="preserve">Ime i prezime odgovorne osobe, </w:t>
            </w:r>
          </w:p>
          <w:p w:rsidR="00031792" w:rsidRPr="00860929" w:rsidRDefault="00031792" w:rsidP="0058539E">
            <w:pPr>
              <w:spacing w:before="60" w:after="60" w:line="259" w:lineRule="auto"/>
              <w:rPr>
                <w:rFonts w:cs="Arial"/>
                <w:i/>
                <w:iCs/>
                <w:color w:val="000000"/>
                <w:lang w:val="hr-HR"/>
              </w:rPr>
            </w:pPr>
            <w:r w:rsidRPr="00860929">
              <w:rPr>
                <w:rFonts w:cs="Arial"/>
                <w:i/>
                <w:iCs/>
                <w:color w:val="000000"/>
                <w:lang w:val="hr-HR"/>
              </w:rPr>
              <w:t>pečat i potpis</w:t>
            </w:r>
          </w:p>
        </w:tc>
        <w:tc>
          <w:tcPr>
            <w:tcW w:w="5477" w:type="dxa"/>
          </w:tcPr>
          <w:p w:rsidR="00031792" w:rsidRPr="00860929" w:rsidRDefault="00031792" w:rsidP="0058539E">
            <w:pPr>
              <w:spacing w:before="60" w:after="60" w:line="259" w:lineRule="auto"/>
              <w:rPr>
                <w:rFonts w:cs="Arial"/>
                <w:color w:val="000000"/>
                <w:sz w:val="18"/>
                <w:szCs w:val="18"/>
                <w:lang w:val="hr-HR"/>
              </w:rPr>
            </w:pPr>
          </w:p>
          <w:p w:rsidR="00031792" w:rsidRPr="00860929" w:rsidRDefault="00031792" w:rsidP="0058539E">
            <w:pPr>
              <w:spacing w:before="60" w:after="60" w:line="259" w:lineRule="auto"/>
              <w:rPr>
                <w:rFonts w:cs="Arial"/>
                <w:color w:val="000000"/>
                <w:sz w:val="18"/>
                <w:szCs w:val="18"/>
                <w:lang w:val="hr-HR"/>
              </w:rPr>
            </w:pPr>
          </w:p>
          <w:p w:rsidR="00031792" w:rsidRPr="00860929" w:rsidRDefault="00031792" w:rsidP="0058539E">
            <w:pPr>
              <w:spacing w:before="60" w:after="60" w:line="259" w:lineRule="auto"/>
              <w:rPr>
                <w:rFonts w:cs="Arial"/>
                <w:color w:val="000000"/>
                <w:sz w:val="18"/>
                <w:szCs w:val="18"/>
                <w:lang w:val="hr-HR"/>
              </w:rPr>
            </w:pPr>
          </w:p>
          <w:p w:rsidR="00031792" w:rsidRPr="00860929" w:rsidRDefault="00031792" w:rsidP="0058539E">
            <w:pPr>
              <w:spacing w:before="60" w:after="60" w:line="259" w:lineRule="auto"/>
              <w:rPr>
                <w:rFonts w:cs="Arial"/>
                <w:color w:val="000000"/>
                <w:sz w:val="18"/>
                <w:szCs w:val="18"/>
                <w:lang w:val="hr-HR"/>
              </w:rPr>
            </w:pPr>
          </w:p>
          <w:p w:rsidR="00031792" w:rsidRPr="00860929" w:rsidRDefault="00031792" w:rsidP="0058539E">
            <w:pPr>
              <w:spacing w:before="60" w:after="60" w:line="259" w:lineRule="auto"/>
              <w:rPr>
                <w:rFonts w:cs="Arial"/>
                <w:color w:val="000000"/>
                <w:sz w:val="18"/>
                <w:szCs w:val="18"/>
                <w:lang w:val="hr-HR"/>
              </w:rPr>
            </w:pPr>
          </w:p>
        </w:tc>
      </w:tr>
    </w:tbl>
    <w:p w:rsidR="00031792" w:rsidRPr="00860929" w:rsidRDefault="00031792" w:rsidP="00031792">
      <w:pPr>
        <w:pStyle w:val="NoSpacing"/>
        <w:spacing w:after="120" w:line="276" w:lineRule="auto"/>
        <w:jc w:val="both"/>
        <w:rPr>
          <w:rStyle w:val="normaltextrun"/>
          <w:rFonts w:ascii="Arial" w:hAnsi="Arial" w:cs="Arial"/>
        </w:rPr>
      </w:pPr>
    </w:p>
    <w:p w:rsidR="000C375D" w:rsidRDefault="000C375D"/>
    <w:sectPr w:rsidR="000C375D" w:rsidSect="000133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006" w:rsidRDefault="00F90006" w:rsidP="00031792">
      <w:pPr>
        <w:spacing w:after="0" w:line="240" w:lineRule="auto"/>
      </w:pPr>
      <w:r>
        <w:separator/>
      </w:r>
    </w:p>
  </w:endnote>
  <w:endnote w:type="continuationSeparator" w:id="1">
    <w:p w:rsidR="00F90006" w:rsidRDefault="00F90006" w:rsidP="00031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006" w:rsidRDefault="00F90006" w:rsidP="00031792">
      <w:pPr>
        <w:spacing w:after="0" w:line="240" w:lineRule="auto"/>
      </w:pPr>
      <w:r>
        <w:separator/>
      </w:r>
    </w:p>
  </w:footnote>
  <w:footnote w:type="continuationSeparator" w:id="1">
    <w:p w:rsidR="00F90006" w:rsidRDefault="00F90006" w:rsidP="00031792">
      <w:pPr>
        <w:spacing w:after="0" w:line="240" w:lineRule="auto"/>
      </w:pPr>
      <w:r>
        <w:continuationSeparator/>
      </w:r>
    </w:p>
  </w:footnote>
  <w:footnote w:id="2">
    <w:p w:rsidR="00031792" w:rsidRPr="006F0C12" w:rsidRDefault="00031792" w:rsidP="00031792">
      <w:pPr>
        <w:pStyle w:val="FootnoteText"/>
      </w:pPr>
      <w:r w:rsidRPr="006F0C12">
        <w:rPr>
          <w:rStyle w:val="FootnoteReference"/>
        </w:rPr>
        <w:footnoteRef/>
      </w:r>
      <w:r w:rsidRPr="006F0C12">
        <w:rPr>
          <w:sz w:val="16"/>
          <w:szCs w:val="16"/>
        </w:rPr>
        <w:t>Profesionalni propust predtavlja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3">
    <w:p w:rsidR="00031792" w:rsidRDefault="00031792" w:rsidP="00031792">
      <w:pPr>
        <w:tabs>
          <w:tab w:val="left" w:pos="820"/>
        </w:tabs>
        <w:ind w:right="79"/>
      </w:pPr>
      <w:r w:rsidRPr="006F0C12">
        <w:rPr>
          <w:rStyle w:val="FootnoteReference"/>
          <w:rFonts w:eastAsia="SimSun"/>
          <w:sz w:val="16"/>
          <w:lang w:val="hr-HR"/>
        </w:rPr>
        <w:footnoteRef/>
      </w:r>
      <w:r w:rsidRPr="006F0C12">
        <w:rPr>
          <w:sz w:val="16"/>
          <w:szCs w:val="16"/>
          <w:lang w:val="hr-HR"/>
        </w:rPr>
        <w:t>Općenito, radi se o situaciji u kojoj se dolazi u priliku svojom odlukom ili drugim djelovanjem pogodovati sebi ili sebi bliskim osobama, društvenim skupinama i organizacijama. Sukob interesa razmatra se i kroz članak 61. Uredbe (EU) br. 2018/1046.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0CEB"/>
    <w:multiLevelType w:val="hybridMultilevel"/>
    <w:tmpl w:val="6AFEF6A0"/>
    <w:lvl w:ilvl="0" w:tplc="E8DE1D64">
      <w:start w:val="1"/>
      <w:numFmt w:val="decimal"/>
      <w:lvlText w:val="%1."/>
      <w:lvlJc w:val="left"/>
      <w:pPr>
        <w:ind w:left="720" w:hanging="360"/>
      </w:pPr>
      <w:rPr>
        <w:rFonts w:ascii="Arial" w:eastAsiaTheme="minorEastAsia" w:hAnsi="Arial" w:cs="Arial" w:hint="default"/>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31792"/>
    <w:rsid w:val="000133B0"/>
    <w:rsid w:val="00031792"/>
    <w:rsid w:val="000C375D"/>
    <w:rsid w:val="002311CC"/>
    <w:rsid w:val="00234E19"/>
    <w:rsid w:val="002F4134"/>
    <w:rsid w:val="00315B56"/>
    <w:rsid w:val="006C60FF"/>
    <w:rsid w:val="00735189"/>
    <w:rsid w:val="0088162A"/>
    <w:rsid w:val="0088518C"/>
    <w:rsid w:val="00A72875"/>
    <w:rsid w:val="00B579C9"/>
    <w:rsid w:val="00BA56F2"/>
    <w:rsid w:val="00BE7BF8"/>
    <w:rsid w:val="00CB1550"/>
    <w:rsid w:val="00F9000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92"/>
    <w:pPr>
      <w:spacing w:after="120"/>
      <w:jc w:val="both"/>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792"/>
    <w:pPr>
      <w:ind w:left="720"/>
      <w:contextualSpacing/>
    </w:pPr>
  </w:style>
  <w:style w:type="paragraph" w:styleId="BodyText">
    <w:name w:val="Body Text"/>
    <w:basedOn w:val="Normal"/>
    <w:link w:val="BodyTextChar"/>
    <w:rsid w:val="00031792"/>
    <w:pPr>
      <w:widowControl w:val="0"/>
      <w:suppressAutoHyphens/>
    </w:pPr>
    <w:rPr>
      <w:rFonts w:eastAsia="SimSun" w:cs="Mangal"/>
      <w:kern w:val="1"/>
      <w:lang w:val="hr-HR" w:eastAsia="hi-IN" w:bidi="hi-IN"/>
    </w:rPr>
  </w:style>
  <w:style w:type="character" w:customStyle="1" w:styleId="BodyTextChar">
    <w:name w:val="Body Text Char"/>
    <w:basedOn w:val="DefaultParagraphFont"/>
    <w:link w:val="BodyText"/>
    <w:rsid w:val="00031792"/>
    <w:rPr>
      <w:rFonts w:ascii="Arial" w:eastAsia="SimSun" w:hAnsi="Arial" w:cs="Mangal"/>
      <w:kern w:val="1"/>
      <w:szCs w:val="24"/>
      <w:lang w:eastAsia="hi-IN" w:bidi="hi-IN"/>
    </w:rPr>
  </w:style>
  <w:style w:type="table" w:styleId="TableGrid">
    <w:name w:val="Table Grid"/>
    <w:basedOn w:val="TableNormal"/>
    <w:uiPriority w:val="39"/>
    <w:rsid w:val="00031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31792"/>
    <w:pPr>
      <w:spacing w:after="0" w:line="240" w:lineRule="auto"/>
    </w:pPr>
    <w:rPr>
      <w:rFonts w:ascii="Calibri" w:eastAsia="Calibri" w:hAnsi="Calibri" w:cs="Times New Roman"/>
    </w:rPr>
  </w:style>
  <w:style w:type="character" w:customStyle="1" w:styleId="normaltextrun">
    <w:name w:val="normaltextrun"/>
    <w:basedOn w:val="DefaultParagraphFont"/>
    <w:rsid w:val="00031792"/>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semiHidden/>
    <w:locked/>
    <w:rsid w:val="00031792"/>
    <w:rPr>
      <w:rFonts w:ascii="Times New Roman" w:eastAsia="Times New Roman" w:hAnsi="Times New Roman" w:cs="Times New Roman"/>
      <w:noProof/>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semiHidden/>
    <w:unhideWhenUsed/>
    <w:rsid w:val="00031792"/>
    <w:rPr>
      <w:rFonts w:ascii="Times New Roman" w:hAnsi="Times New Roman"/>
      <w:noProof/>
      <w:sz w:val="20"/>
      <w:szCs w:val="20"/>
      <w:lang w:val="hr-HR"/>
    </w:rPr>
  </w:style>
  <w:style w:type="character" w:customStyle="1" w:styleId="FootnoteTextChar">
    <w:name w:val="Footnote Text Char"/>
    <w:basedOn w:val="DefaultParagraphFont"/>
    <w:link w:val="FootnoteText"/>
    <w:uiPriority w:val="99"/>
    <w:semiHidden/>
    <w:rsid w:val="00031792"/>
    <w:rPr>
      <w:rFonts w:ascii="Arial" w:eastAsia="Times New Roman" w:hAnsi="Arial" w:cs="Times New Roman"/>
      <w:sz w:val="20"/>
      <w:szCs w:val="20"/>
      <w:lang w:val="en-GB"/>
    </w:rPr>
  </w:style>
  <w:style w:type="character" w:styleId="FootnoteReference">
    <w:name w:val="footnote reference"/>
    <w:aliases w:val="BVI fnr,ftref,BVI fnr Car Car,BVI fnr Car,BVI fnr Car Car Car Car,BVI fnr Car Car Car Car Char,stylish,BVI fnr Car Char1 Char,BVI fnr Car Car Char1 Char"/>
    <w:basedOn w:val="DefaultParagraphFont"/>
    <w:link w:val="Char2"/>
    <w:uiPriority w:val="99"/>
    <w:unhideWhenUsed/>
    <w:rsid w:val="00031792"/>
    <w:rPr>
      <w:rFonts w:ascii="Times New Roman" w:hAnsi="Times New Roman" w:cs="Times New Roman"/>
      <w:vertAlign w:val="superscript"/>
    </w:rPr>
  </w:style>
  <w:style w:type="paragraph" w:customStyle="1" w:styleId="Char2">
    <w:name w:val="Char2"/>
    <w:basedOn w:val="Normal"/>
    <w:link w:val="FootnoteReference"/>
    <w:uiPriority w:val="99"/>
    <w:rsid w:val="00031792"/>
    <w:pPr>
      <w:spacing w:after="160" w:line="240" w:lineRule="exact"/>
    </w:pPr>
    <w:rPr>
      <w:rFonts w:ascii="Times New Roman" w:eastAsiaTheme="minorHAnsi" w:hAnsi="Times New Roman"/>
      <w:szCs w:val="22"/>
      <w:vertAlign w:val="superscript"/>
      <w:lang w:val="hr-HR"/>
    </w:rPr>
  </w:style>
  <w:style w:type="character" w:customStyle="1" w:styleId="eop">
    <w:name w:val="eop"/>
    <w:basedOn w:val="DefaultParagraphFont"/>
    <w:rsid w:val="000317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6374</Characters>
  <Application>Microsoft Office Word</Application>
  <DocSecurity>0</DocSecurity>
  <Lines>53</Lines>
  <Paragraphs>14</Paragraphs>
  <ScaleCrop>false</ScaleCrop>
  <Company>Grizli777</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2021-03-01T07:20:00Z</dcterms:created>
  <dcterms:modified xsi:type="dcterms:W3CDTF">2021-03-01T07:20:00Z</dcterms:modified>
</cp:coreProperties>
</file>